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654ECD">
        <w:rPr>
          <w:szCs w:val="22"/>
        </w:rPr>
        <w:t>выполнение работ по сервисному обслуживанию</w:t>
      </w:r>
      <w:r w:rsidR="00654ECD" w:rsidRPr="006B3D62">
        <w:rPr>
          <w:szCs w:val="22"/>
        </w:rPr>
        <w:t xml:space="preserve"> </w:t>
      </w:r>
      <w:r w:rsidR="00654ECD">
        <w:rPr>
          <w:szCs w:val="22"/>
        </w:rPr>
        <w:t xml:space="preserve">и ремонту </w:t>
      </w:r>
      <w:r w:rsidR="00654ECD" w:rsidRPr="006B3D62">
        <w:rPr>
          <w:szCs w:val="22"/>
        </w:rPr>
        <w:t>кондиционеров ОАО «Славнефть-ЯНОС»</w:t>
      </w:r>
      <w:r w:rsidR="00EE4641" w:rsidRPr="00EE4641">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6B413F">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F077EA" w:rsidRDefault="00EF1336" w:rsidP="00640F62">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654ECD" w:rsidRPr="00654ECD">
        <w:rPr>
          <w:szCs w:val="22"/>
        </w:rPr>
        <w:t>начало</w:t>
      </w:r>
      <w:r w:rsidR="00654ECD" w:rsidRPr="00727428">
        <w:rPr>
          <w:szCs w:val="22"/>
        </w:rPr>
        <w:t xml:space="preserve"> работ – </w:t>
      </w:r>
      <w:r w:rsidR="00654ECD">
        <w:rPr>
          <w:szCs w:val="22"/>
        </w:rPr>
        <w:t>с даты подписания договора</w:t>
      </w:r>
      <w:r w:rsidR="00654ECD" w:rsidRPr="00727428">
        <w:rPr>
          <w:szCs w:val="22"/>
        </w:rPr>
        <w:t xml:space="preserve">, окончание работ – </w:t>
      </w:r>
      <w:r w:rsidR="00654ECD">
        <w:rPr>
          <w:szCs w:val="22"/>
        </w:rPr>
        <w:t xml:space="preserve">31.12.2019 </w:t>
      </w:r>
      <w:r w:rsidR="00654ECD" w:rsidRPr="00727428">
        <w:rPr>
          <w:szCs w:val="22"/>
        </w:rPr>
        <w:t>г</w:t>
      </w:r>
      <w:r w:rsidR="00654ECD">
        <w:rPr>
          <w:szCs w:val="22"/>
        </w:rPr>
        <w:t xml:space="preserve">. </w:t>
      </w:r>
      <w:r w:rsidR="00654ECD" w:rsidRPr="006B3D62">
        <w:rPr>
          <w:szCs w:val="22"/>
        </w:rPr>
        <w:t xml:space="preserve">Сроки начала и окончания работ </w:t>
      </w:r>
      <w:r w:rsidR="00654ECD">
        <w:rPr>
          <w:szCs w:val="22"/>
        </w:rPr>
        <w:t xml:space="preserve">по сервисному обслуживанию кондиционеров </w:t>
      </w:r>
      <w:r w:rsidR="00654ECD" w:rsidRPr="006B3D62">
        <w:rPr>
          <w:szCs w:val="22"/>
        </w:rPr>
        <w:t>в целом и отдельных этапов (в случае их наличия) определяются Приложением №</w:t>
      </w:r>
      <w:r w:rsidR="00654ECD" w:rsidRPr="0021132E">
        <w:rPr>
          <w:szCs w:val="22"/>
        </w:rPr>
        <w:t>2</w:t>
      </w:r>
      <w:r w:rsidR="00654ECD" w:rsidRPr="006B3D62">
        <w:rPr>
          <w:szCs w:val="22"/>
        </w:rPr>
        <w:t xml:space="preserve"> к </w:t>
      </w:r>
      <w:r w:rsidR="00654ECD">
        <w:rPr>
          <w:szCs w:val="22"/>
        </w:rPr>
        <w:t xml:space="preserve">проекту </w:t>
      </w:r>
      <w:r w:rsidR="00654ECD" w:rsidRPr="006B3D62">
        <w:rPr>
          <w:szCs w:val="22"/>
        </w:rPr>
        <w:t>Договор</w:t>
      </w:r>
      <w:r w:rsidR="00654ECD">
        <w:rPr>
          <w:szCs w:val="22"/>
        </w:rPr>
        <w:t>а</w:t>
      </w:r>
      <w:r w:rsidR="00654ECD" w:rsidRPr="006B3D62">
        <w:rPr>
          <w:szCs w:val="22"/>
        </w:rPr>
        <w:t>.</w:t>
      </w:r>
      <w:r w:rsidR="00654ECD" w:rsidRPr="00B56EAF">
        <w:rPr>
          <w:sz w:val="24"/>
        </w:rPr>
        <w:t xml:space="preserve"> </w:t>
      </w:r>
      <w:r w:rsidR="00654ECD" w:rsidRPr="00074C70">
        <w:rPr>
          <w:szCs w:val="22"/>
        </w:rPr>
        <w:t>Сроки выполнения работ по ремонту кондиционеров определяются Заказчиком в соответствии с наряд-заказом (Приложение №5 к проекту Договора), а также Приложением к Договору, оформленным сторонами в соответствии с Приложением №6 к проекту Договора.</w:t>
      </w:r>
      <w:r w:rsidR="00654ECD">
        <w:rPr>
          <w:szCs w:val="22"/>
        </w:rPr>
        <w:t xml:space="preserve"> При возникновении неисправности систем кондиционирования Подрядчик обязан прибыть для диагностики оборудования на место проведения работ не позднее 24 часов с момента сообщения Заказчиком о неисправности. </w:t>
      </w:r>
      <w:r w:rsidR="00654ECD" w:rsidRPr="00774474">
        <w:rPr>
          <w:szCs w:val="22"/>
        </w:rPr>
        <w:t>Окончание</w:t>
      </w:r>
      <w:r w:rsidR="00654ECD">
        <w:rPr>
          <w:szCs w:val="22"/>
        </w:rPr>
        <w:t xml:space="preserve"> работ в целом и отдельных этапов (в случае их наличия) оформляются двусторонними актами выполненных работ</w:t>
      </w:r>
      <w:r w:rsidR="00F077EA" w:rsidRPr="00F077EA">
        <w:rPr>
          <w:szCs w:val="22"/>
        </w:rPr>
        <w:t>.</w:t>
      </w:r>
    </w:p>
    <w:p w:rsidR="005E4A05" w:rsidRDefault="00EF1336" w:rsidP="005E4A05">
      <w:pPr>
        <w:jc w:val="both"/>
        <w:rPr>
          <w:szCs w:val="22"/>
        </w:rPr>
      </w:pPr>
      <w:r w:rsidRPr="00EF1336">
        <w:rPr>
          <w:rFonts w:cs="Arial"/>
          <w:b/>
          <w:szCs w:val="22"/>
          <w:u w:val="single"/>
        </w:rPr>
        <w:t>Условия оплаты</w:t>
      </w:r>
      <w:r w:rsidRPr="00EF1336">
        <w:rPr>
          <w:rFonts w:cs="Arial"/>
          <w:szCs w:val="22"/>
        </w:rPr>
        <w:t xml:space="preserve">: </w:t>
      </w:r>
      <w:r w:rsidR="005E4A05">
        <w:rPr>
          <w:szCs w:val="22"/>
        </w:rPr>
        <w:t>по предоставленным подписанными, обеими сторонами, калькуляциям, с отсрочкой платежа 9</w:t>
      </w:r>
      <w:r w:rsidR="005E4A05" w:rsidRPr="00803B54">
        <w:rPr>
          <w:szCs w:val="22"/>
        </w:rPr>
        <w:t>0 календарных дней.</w:t>
      </w:r>
    </w:p>
    <w:p w:rsidR="00654ECD" w:rsidRDefault="00654ECD" w:rsidP="00654ECD">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654ECD" w:rsidRPr="00792B1C" w:rsidRDefault="00654ECD" w:rsidP="00654ECD">
      <w:pPr>
        <w:autoSpaceDE w:val="0"/>
        <w:ind w:firstLine="720"/>
        <w:jc w:val="both"/>
        <w:rPr>
          <w:strike/>
          <w:szCs w:val="22"/>
        </w:rPr>
      </w:pPr>
      <w:r w:rsidRPr="00074C70">
        <w:rPr>
          <w:szCs w:val="22"/>
        </w:rPr>
        <w:t>Перечень систем кондиционирования для проведения обслуживания и ремонта представлен в Приложении №</w:t>
      </w:r>
      <w:r>
        <w:rPr>
          <w:szCs w:val="22"/>
        </w:rPr>
        <w:t xml:space="preserve"> </w:t>
      </w:r>
      <w:r w:rsidRPr="00074C70">
        <w:rPr>
          <w:szCs w:val="22"/>
        </w:rPr>
        <w:t>1 к проекту Договора</w:t>
      </w:r>
      <w:r>
        <w:rPr>
          <w:szCs w:val="22"/>
        </w:rPr>
        <w:t>.</w:t>
      </w:r>
      <w:r w:rsidRPr="006B3D62">
        <w:rPr>
          <w:szCs w:val="22"/>
        </w:rPr>
        <w:t xml:space="preserve"> </w:t>
      </w:r>
    </w:p>
    <w:p w:rsidR="00654ECD" w:rsidRPr="00170DBF" w:rsidRDefault="00654ECD" w:rsidP="00654ECD">
      <w:pPr>
        <w:autoSpaceDE w:val="0"/>
        <w:ind w:firstLine="567"/>
        <w:jc w:val="both"/>
        <w:rPr>
          <w:szCs w:val="22"/>
        </w:rPr>
      </w:pPr>
      <w:r w:rsidRPr="00074C70">
        <w:rPr>
          <w:szCs w:val="22"/>
        </w:rPr>
        <w:t xml:space="preserve">Работы по сервисному обслуживанию систем кондиционирования проводятся на основании </w:t>
      </w:r>
      <w:r w:rsidRPr="00074C70">
        <w:rPr>
          <w:bCs/>
          <w:szCs w:val="22"/>
        </w:rPr>
        <w:t>Графика ежегодного выполнения работ по сервисному обслуживанию систем кондиционирования на объектах</w:t>
      </w:r>
      <w:r w:rsidRPr="00074C70">
        <w:rPr>
          <w:b/>
          <w:bCs/>
          <w:szCs w:val="22"/>
        </w:rPr>
        <w:t xml:space="preserve"> </w:t>
      </w:r>
      <w:r w:rsidRPr="00074C70">
        <w:rPr>
          <w:bCs/>
          <w:szCs w:val="22"/>
        </w:rPr>
        <w:t>ОАО "Славнефть-ЯНОС" на 2018-2019 г.</w:t>
      </w:r>
      <w:r w:rsidRPr="00074C70">
        <w:rPr>
          <w:szCs w:val="22"/>
        </w:rPr>
        <w:t xml:space="preserve"> (Приложение</w:t>
      </w:r>
      <w:r>
        <w:rPr>
          <w:szCs w:val="22"/>
        </w:rPr>
        <w:t xml:space="preserve"> </w:t>
      </w:r>
      <w:r w:rsidRPr="00074C70">
        <w:rPr>
          <w:szCs w:val="22"/>
        </w:rPr>
        <w:t xml:space="preserve">№2 к проекту Договора) и в соответствии с Перечнем работ по сервисному обслуживанию систем кондиционирования объектов ОАО «Славнефть-ЯНОС». (Приложение </w:t>
      </w:r>
      <w:r>
        <w:rPr>
          <w:szCs w:val="22"/>
        </w:rPr>
        <w:t xml:space="preserve">№ </w:t>
      </w:r>
      <w:r w:rsidRPr="00074C70">
        <w:rPr>
          <w:szCs w:val="22"/>
        </w:rPr>
        <w:t>4 к проекту Договора).</w:t>
      </w:r>
      <w:r>
        <w:rPr>
          <w:szCs w:val="22"/>
        </w:rPr>
        <w:t xml:space="preserve"> Основанием для начала работ по ремонту кондиционеров ОАО «Славнефть-ЯНОС» является наряд – заказ, утвержденный Заказчиком у установленном порядке (Приложение №5 к проекту Договора). </w:t>
      </w:r>
      <w:r w:rsidRPr="009827F6">
        <w:rPr>
          <w:szCs w:val="22"/>
        </w:rPr>
        <w:t xml:space="preserve">Объемы работ </w:t>
      </w:r>
      <w:r>
        <w:rPr>
          <w:szCs w:val="22"/>
        </w:rPr>
        <w:t xml:space="preserve">будут </w:t>
      </w:r>
      <w:r w:rsidRPr="009827F6">
        <w:rPr>
          <w:szCs w:val="22"/>
        </w:rPr>
        <w:t>определят</w:t>
      </w:r>
      <w:r>
        <w:rPr>
          <w:szCs w:val="22"/>
        </w:rPr>
        <w:t>ь</w:t>
      </w:r>
      <w:r w:rsidRPr="009827F6">
        <w:rPr>
          <w:szCs w:val="22"/>
        </w:rPr>
        <w:t>ся в соответствии с утвержденными З</w:t>
      </w:r>
      <w:r>
        <w:rPr>
          <w:szCs w:val="22"/>
        </w:rPr>
        <w:t xml:space="preserve">аказчиком дефектными ведомостями. </w:t>
      </w:r>
      <w:r w:rsidRPr="009827F6">
        <w:rPr>
          <w:szCs w:val="22"/>
        </w:rPr>
        <w:t xml:space="preserve">Стоимость таких работ будет определяется утвержденными Заказчиком локальными ресурсными сметными расчетами, </w:t>
      </w:r>
      <w:r w:rsidRPr="009827F6">
        <w:rPr>
          <w:color w:val="000000"/>
          <w:szCs w:val="22"/>
        </w:rPr>
        <w:t>выполненными на основании утвержденных Заказчиком дефектных ведомост</w:t>
      </w:r>
      <w:r>
        <w:rPr>
          <w:color w:val="000000"/>
          <w:szCs w:val="22"/>
        </w:rPr>
        <w:t>ей, по Сборникам нормативной базы ГЭСН, ФЕР-2001 (редакция 2014 г.), ГЭСН20 Вентиляция и кондиционирование воздуха (раздел 6 Кондиционеры) и показателей Регламента определения стоимости работ на весь период их выполнения Приложение №7 к проекту Договора</w:t>
      </w:r>
      <w:r w:rsidRPr="009827F6">
        <w:rPr>
          <w:color w:val="000000"/>
          <w:szCs w:val="22"/>
        </w:rPr>
        <w:t>. Выполнение каждой из работ оформляется отдельным приложением к Договору (Приложение №</w:t>
      </w:r>
      <w:r>
        <w:rPr>
          <w:color w:val="000000"/>
          <w:szCs w:val="22"/>
        </w:rPr>
        <w:t>6</w:t>
      </w:r>
      <w:r w:rsidRPr="00AA7949">
        <w:rPr>
          <w:color w:val="000000"/>
          <w:szCs w:val="22"/>
        </w:rPr>
        <w:t xml:space="preserve"> к проекту Договора), исходя из Регламента определения стоимости работ на весь период их выполнения (Приложение №</w:t>
      </w:r>
      <w:r>
        <w:rPr>
          <w:color w:val="000000"/>
          <w:szCs w:val="22"/>
        </w:rPr>
        <w:t>7</w:t>
      </w:r>
      <w:r w:rsidRPr="00AA7949">
        <w:rPr>
          <w:color w:val="000000"/>
          <w:szCs w:val="22"/>
        </w:rPr>
        <w:t xml:space="preserve"> к проекту Договора), сроки выполнения каждой из работ указываются в приложении и согласовываются с Заказчиком, но не позднее 10 календарных дней до начала выполнения работ.</w:t>
      </w:r>
    </w:p>
    <w:p w:rsidR="00654ECD" w:rsidRPr="006B3D62" w:rsidRDefault="00654ECD" w:rsidP="00654ECD">
      <w:pPr>
        <w:autoSpaceDE w:val="0"/>
        <w:ind w:firstLine="720"/>
        <w:jc w:val="both"/>
        <w:rPr>
          <w:szCs w:val="22"/>
        </w:rPr>
      </w:pPr>
      <w:r w:rsidRPr="00074C70">
        <w:rPr>
          <w:szCs w:val="22"/>
        </w:rPr>
        <w:t>Виды работ по ремонту систем кондиционирования указаны в Приложении №4 к проекту Договора.</w:t>
      </w:r>
    </w:p>
    <w:p w:rsidR="00654ECD" w:rsidRDefault="00654ECD" w:rsidP="00654ECD">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654ECD" w:rsidRPr="00EA2FD2" w:rsidRDefault="00654ECD" w:rsidP="00654ECD">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654ECD" w:rsidRPr="006A726D" w:rsidRDefault="00654ECD" w:rsidP="00654ECD">
      <w:pPr>
        <w:ind w:firstLine="709"/>
        <w:jc w:val="both"/>
        <w:rPr>
          <w:szCs w:val="22"/>
        </w:rPr>
      </w:pPr>
      <w:r w:rsidRPr="006A726D">
        <w:rPr>
          <w:szCs w:val="22"/>
        </w:rPr>
        <w:t>Выбор подрядчика на проведение комплекса работ будет осуществляться в два этапа:</w:t>
      </w:r>
    </w:p>
    <w:p w:rsidR="00654ECD" w:rsidRPr="00654ECD" w:rsidRDefault="00654ECD" w:rsidP="003A4C16">
      <w:pPr>
        <w:pStyle w:val="ac"/>
        <w:numPr>
          <w:ilvl w:val="0"/>
          <w:numId w:val="7"/>
        </w:numPr>
        <w:spacing w:before="0" w:after="200"/>
        <w:jc w:val="both"/>
        <w:rPr>
          <w:szCs w:val="22"/>
        </w:rPr>
      </w:pPr>
      <w:r w:rsidRPr="00654ECD">
        <w:rPr>
          <w:szCs w:val="22"/>
        </w:rPr>
        <w:lastRenderedPageBreak/>
        <w:t>Этап оценки соответствия технических частей оферт – по совокупности критериев, указанных в форме «Требования к Контрагенту».</w:t>
      </w:r>
    </w:p>
    <w:p w:rsidR="00654ECD" w:rsidRPr="006A726D" w:rsidRDefault="00654ECD" w:rsidP="003A4C16">
      <w:pPr>
        <w:pStyle w:val="ac"/>
        <w:numPr>
          <w:ilvl w:val="0"/>
          <w:numId w:val="7"/>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654ECD" w:rsidRPr="00074C70" w:rsidRDefault="00654ECD" w:rsidP="00654ECD">
      <w:pPr>
        <w:spacing w:before="0"/>
        <w:ind w:firstLine="709"/>
        <w:jc w:val="both"/>
        <w:rPr>
          <w:szCs w:val="22"/>
        </w:rPr>
      </w:pPr>
      <w:r w:rsidRPr="006A726D">
        <w:rPr>
          <w:szCs w:val="22"/>
        </w:rPr>
        <w:t xml:space="preserve">- </w:t>
      </w:r>
      <w:r w:rsidRPr="00074C70">
        <w:rPr>
          <w:szCs w:val="22"/>
        </w:rPr>
        <w:t>твердая договорная цена на работы по сервисному обслуживанию кондиционеров ОАО «Славнефть-ЯНОС» в 2018-2019 гг.</w:t>
      </w:r>
    </w:p>
    <w:p w:rsidR="009768D5" w:rsidRPr="0061023D" w:rsidRDefault="00654ECD" w:rsidP="00654ECD">
      <w:pPr>
        <w:spacing w:before="0"/>
        <w:ind w:firstLine="709"/>
        <w:jc w:val="both"/>
        <w:rPr>
          <w:b/>
          <w:szCs w:val="22"/>
        </w:rPr>
      </w:pPr>
      <w:r w:rsidRPr="00074C70">
        <w:rPr>
          <w:szCs w:val="22"/>
        </w:rPr>
        <w:t xml:space="preserve">- Приведенная стоимость работ по ремонту систем кондиционирования в соответствии с </w:t>
      </w:r>
      <w:r w:rsidRPr="00074C70">
        <w:rPr>
          <w:bCs/>
          <w:color w:val="000000"/>
          <w:szCs w:val="22"/>
        </w:rPr>
        <w:t>"Методикой оценки Регламента определения стоимости работ"</w:t>
      </w:r>
      <w:r w:rsidR="009768D5" w:rsidRPr="00654ECD">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в соответствии с Приложениями №1, 2, 3, 4</w:t>
      </w:r>
      <w:r>
        <w:rPr>
          <w:szCs w:val="22"/>
        </w:rPr>
        <w:t>, 5, 6</w:t>
      </w:r>
      <w:r w:rsidRPr="006B3D62">
        <w:rPr>
          <w:szCs w:val="22"/>
        </w:rPr>
        <w:t xml:space="preserve"> к Договору</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Pr="00264A9F">
        <w:rPr>
          <w:szCs w:val="22"/>
        </w:rPr>
        <w:t>СП 60.13330.2012</w:t>
      </w:r>
      <w:r w:rsidRPr="006B3D62">
        <w:rPr>
          <w:szCs w:val="22"/>
        </w:rPr>
        <w:t>, СП 73.13330.2012</w:t>
      </w:r>
      <w:r w:rsidRPr="00D02722">
        <w:rPr>
          <w:szCs w:val="22"/>
        </w:rPr>
        <w:t>, Правила по охране труда в строительстве, утв. приказом от 1 июня 2015 г. N 336н</w:t>
      </w:r>
      <w:r w:rsidRPr="00CE72DF">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документацией и инструкциями завода-изготовителя,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3A4C16">
      <w:pPr>
        <w:pStyle w:val="ac"/>
        <w:numPr>
          <w:ilvl w:val="0"/>
          <w:numId w:val="7"/>
        </w:numPr>
        <w:autoSpaceDE w:val="0"/>
        <w:jc w:val="both"/>
        <w:rPr>
          <w:rFonts w:cs="Arial"/>
          <w:b/>
          <w:iCs/>
          <w:szCs w:val="22"/>
        </w:rPr>
      </w:pPr>
      <w:r w:rsidRPr="00654ECD">
        <w:rPr>
          <w:rFonts w:cs="Arial"/>
          <w:b/>
          <w:iCs/>
          <w:szCs w:val="22"/>
        </w:rPr>
        <w:t>Основные требования к Контрагенту.</w:t>
      </w:r>
    </w:p>
    <w:p w:rsidR="009F7E46" w:rsidRPr="009F7E46" w:rsidRDefault="009F7E46" w:rsidP="009F7E46">
      <w:pPr>
        <w:pStyle w:val="ac"/>
        <w:autoSpaceDE w:val="0"/>
        <w:ind w:left="644"/>
        <w:jc w:val="both"/>
        <w:rPr>
          <w:rFonts w:cs="Arial"/>
          <w:b/>
          <w:iCs/>
          <w:sz w:val="16"/>
          <w:szCs w:val="16"/>
        </w:rPr>
      </w:pPr>
    </w:p>
    <w:tbl>
      <w:tblPr>
        <w:tblW w:w="10981" w:type="dxa"/>
        <w:tblInd w:w="83" w:type="dxa"/>
        <w:tblLayout w:type="fixed"/>
        <w:tblLook w:val="0000" w:firstRow="0" w:lastRow="0" w:firstColumn="0" w:lastColumn="0" w:noHBand="0" w:noVBand="0"/>
      </w:tblPr>
      <w:tblGrid>
        <w:gridCol w:w="592"/>
        <w:gridCol w:w="3676"/>
        <w:gridCol w:w="2693"/>
        <w:gridCol w:w="1569"/>
        <w:gridCol w:w="1701"/>
        <w:gridCol w:w="750"/>
      </w:tblGrid>
      <w:tr w:rsidR="00654ECD" w:rsidTr="00BF0EF3">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654ECD" w:rsidRPr="00654ECD" w:rsidRDefault="00654ECD" w:rsidP="00654ECD">
            <w:pPr>
              <w:rPr>
                <w:rFonts w:cs="Arial"/>
                <w:b/>
                <w:bCs/>
                <w:sz w:val="20"/>
                <w:szCs w:val="20"/>
              </w:rPr>
            </w:pPr>
            <w:r w:rsidRPr="00654ECD">
              <w:rPr>
                <w:rFonts w:cs="Arial"/>
                <w:b/>
                <w:bCs/>
                <w:sz w:val="20"/>
                <w:szCs w:val="20"/>
              </w:rPr>
              <w:t>№ п/п</w:t>
            </w:r>
          </w:p>
        </w:tc>
        <w:tc>
          <w:tcPr>
            <w:tcW w:w="3676" w:type="dxa"/>
            <w:tcBorders>
              <w:top w:val="single" w:sz="4" w:space="0" w:color="000000"/>
              <w:left w:val="single" w:sz="4" w:space="0" w:color="000000"/>
              <w:bottom w:val="single" w:sz="4" w:space="0" w:color="000000"/>
            </w:tcBorders>
            <w:shd w:val="clear" w:color="auto" w:fill="D9D9D9"/>
            <w:vAlign w:val="center"/>
          </w:tcPr>
          <w:p w:rsidR="00654ECD" w:rsidRPr="00654ECD" w:rsidRDefault="00654ECD" w:rsidP="00654ECD">
            <w:pPr>
              <w:rPr>
                <w:rFonts w:cs="Arial"/>
                <w:b/>
                <w:bCs/>
                <w:sz w:val="20"/>
                <w:szCs w:val="20"/>
              </w:rPr>
            </w:pPr>
            <w:r w:rsidRPr="00654ECD">
              <w:rPr>
                <w:rFonts w:cs="Arial"/>
                <w:b/>
                <w:bCs/>
                <w:sz w:val="20"/>
                <w:szCs w:val="20"/>
              </w:rPr>
              <w:t xml:space="preserve">Требование </w:t>
            </w:r>
            <w:r w:rsidRPr="00654ECD">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654ECD" w:rsidRPr="00654ECD" w:rsidRDefault="00654ECD" w:rsidP="00654ECD">
            <w:pPr>
              <w:rPr>
                <w:rFonts w:cs="Arial"/>
                <w:b/>
                <w:bCs/>
                <w:sz w:val="20"/>
                <w:szCs w:val="20"/>
              </w:rPr>
            </w:pPr>
            <w:r w:rsidRPr="00654ECD">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654ECD" w:rsidRPr="00654ECD" w:rsidRDefault="00654ECD" w:rsidP="00654ECD">
            <w:pPr>
              <w:rPr>
                <w:rFonts w:cs="Arial"/>
                <w:b/>
                <w:bCs/>
                <w:sz w:val="20"/>
                <w:szCs w:val="20"/>
              </w:rPr>
            </w:pPr>
            <w:r w:rsidRPr="00654ECD">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54ECD" w:rsidRPr="00654ECD" w:rsidRDefault="00654ECD" w:rsidP="00654ECD">
            <w:pPr>
              <w:rPr>
                <w:rFonts w:cs="Arial"/>
                <w:b/>
                <w:bCs/>
                <w:sz w:val="20"/>
                <w:szCs w:val="20"/>
              </w:rPr>
            </w:pPr>
            <w:r w:rsidRPr="00654ECD">
              <w:rPr>
                <w:rFonts w:cs="Arial"/>
                <w:b/>
                <w:bCs/>
                <w:sz w:val="20"/>
                <w:szCs w:val="20"/>
              </w:rPr>
              <w:t>Условия соответствия</w:t>
            </w:r>
          </w:p>
        </w:tc>
      </w:tr>
      <w:tr w:rsidR="00654ECD" w:rsidTr="00BF0EF3">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654ECD" w:rsidRPr="00654ECD" w:rsidRDefault="00654ECD" w:rsidP="00654ECD">
            <w:pPr>
              <w:rPr>
                <w:rFonts w:cs="Arial"/>
                <w:b/>
                <w:sz w:val="20"/>
                <w:szCs w:val="20"/>
              </w:rPr>
            </w:pPr>
            <w:r w:rsidRPr="00654ECD">
              <w:rPr>
                <w:rFonts w:cs="Arial"/>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654ECD" w:rsidRPr="00654ECD" w:rsidRDefault="00654ECD" w:rsidP="00654ECD">
            <w:pPr>
              <w:rPr>
                <w:rFonts w:cs="Arial"/>
                <w:b/>
                <w:sz w:val="20"/>
                <w:szCs w:val="20"/>
              </w:rPr>
            </w:pPr>
            <w:r w:rsidRPr="00654ECD">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654ECD" w:rsidRPr="00654ECD" w:rsidRDefault="00654ECD" w:rsidP="00654ECD">
            <w:pPr>
              <w:rPr>
                <w:rFonts w:cs="Arial"/>
                <w:b/>
                <w:sz w:val="20"/>
                <w:szCs w:val="20"/>
              </w:rPr>
            </w:pPr>
            <w:r w:rsidRPr="00654ECD">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654ECD" w:rsidRPr="00654ECD" w:rsidRDefault="00654ECD" w:rsidP="00654ECD">
            <w:pPr>
              <w:rPr>
                <w:rFonts w:cs="Arial"/>
                <w:b/>
                <w:sz w:val="20"/>
                <w:szCs w:val="20"/>
              </w:rPr>
            </w:pPr>
            <w:r w:rsidRPr="00654ECD">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54ECD" w:rsidRPr="00654ECD" w:rsidRDefault="00654ECD" w:rsidP="00654ECD">
            <w:pPr>
              <w:rPr>
                <w:rFonts w:cs="Arial"/>
                <w:sz w:val="20"/>
                <w:szCs w:val="20"/>
              </w:rPr>
            </w:pPr>
            <w:r w:rsidRPr="00654ECD">
              <w:rPr>
                <w:rFonts w:cs="Arial"/>
                <w:b/>
                <w:sz w:val="20"/>
                <w:szCs w:val="20"/>
              </w:rPr>
              <w:t>5</w:t>
            </w:r>
          </w:p>
        </w:tc>
      </w:tr>
      <w:tr w:rsidR="00654ECD" w:rsidRPr="00722757" w:rsidTr="00BF0EF3">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autoSpaceDE w:val="0"/>
              <w:jc w:val="both"/>
              <w:rPr>
                <w:rFonts w:cs="Arial"/>
                <w:sz w:val="20"/>
                <w:szCs w:val="20"/>
              </w:rPr>
            </w:pPr>
            <w:r w:rsidRPr="00654ECD">
              <w:rPr>
                <w:rFonts w:cs="Arial"/>
                <w:sz w:val="20"/>
                <w:szCs w:val="20"/>
              </w:rPr>
              <w:t>Объем выполненных СМР, в области ремонта, технического и сервисного обслуживания систем кондиционирования воздуха в административно-бытовых зданиях, серверных, производственных помещениях, в том числе на действующих опасных производственных объектах.</w:t>
            </w:r>
          </w:p>
        </w:tc>
        <w:tc>
          <w:tcPr>
            <w:tcW w:w="2693" w:type="dxa"/>
            <w:tcBorders>
              <w:top w:val="single" w:sz="4" w:space="0" w:color="000000"/>
              <w:left w:val="single" w:sz="4" w:space="0" w:color="000000"/>
              <w:bottom w:val="single" w:sz="4" w:space="0" w:color="000000"/>
            </w:tcBorders>
            <w:shd w:val="clear" w:color="auto" w:fill="auto"/>
            <w:vAlign w:val="center"/>
          </w:tcPr>
          <w:p w:rsidR="00654ECD" w:rsidRPr="0074540B" w:rsidRDefault="00654ECD" w:rsidP="00654ECD">
            <w:pPr>
              <w:autoSpaceDE w:val="0"/>
              <w:ind w:left="34"/>
              <w:jc w:val="both"/>
              <w:rPr>
                <w:rFonts w:cs="Arial"/>
                <w:sz w:val="20"/>
                <w:szCs w:val="20"/>
                <w:shd w:val="clear" w:color="auto" w:fill="FFFF00"/>
              </w:rPr>
            </w:pPr>
            <w:r w:rsidRPr="0074540B">
              <w:rPr>
                <w:rFonts w:cs="Arial"/>
                <w:sz w:val="20"/>
                <w:szCs w:val="20"/>
              </w:rPr>
              <w:t>Справка об опыте работы за 2015-2017 г.г. за подписью руководителя организации (Форма 7), референц-лист.</w:t>
            </w:r>
          </w:p>
        </w:tc>
        <w:tc>
          <w:tcPr>
            <w:tcW w:w="1569"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autoSpaceDE w:val="0"/>
              <w:ind w:left="34"/>
              <w:jc w:val="both"/>
              <w:rPr>
                <w:rFonts w:cs="Arial"/>
                <w:sz w:val="20"/>
                <w:szCs w:val="20"/>
              </w:rPr>
            </w:pPr>
            <w:r>
              <w:rPr>
                <w:rFonts w:cs="Arial"/>
                <w:sz w:val="20"/>
                <w:szCs w:val="20"/>
              </w:rPr>
              <w:t>р</w:t>
            </w:r>
            <w:r w:rsidRPr="00654ECD">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ECD" w:rsidRPr="00654ECD" w:rsidRDefault="00654ECD" w:rsidP="00654ECD">
            <w:pPr>
              <w:autoSpaceDE w:val="0"/>
              <w:jc w:val="both"/>
              <w:rPr>
                <w:rFonts w:cs="Arial"/>
                <w:sz w:val="20"/>
                <w:szCs w:val="20"/>
              </w:rPr>
            </w:pPr>
            <w:r w:rsidRPr="00654ECD">
              <w:rPr>
                <w:rFonts w:cs="Arial"/>
                <w:sz w:val="20"/>
                <w:szCs w:val="20"/>
              </w:rPr>
              <w:t xml:space="preserve">10 000 000 </w:t>
            </w:r>
          </w:p>
          <w:p w:rsidR="00654ECD" w:rsidRPr="00654ECD" w:rsidRDefault="00654ECD" w:rsidP="00654ECD">
            <w:pPr>
              <w:autoSpaceDE w:val="0"/>
              <w:jc w:val="both"/>
              <w:rPr>
                <w:rFonts w:cs="Arial"/>
                <w:sz w:val="20"/>
                <w:szCs w:val="20"/>
              </w:rPr>
            </w:pPr>
            <w:r w:rsidRPr="00654ECD">
              <w:rPr>
                <w:rFonts w:cs="Arial"/>
                <w:sz w:val="20"/>
                <w:szCs w:val="20"/>
              </w:rPr>
              <w:t>и более</w:t>
            </w:r>
          </w:p>
        </w:tc>
      </w:tr>
      <w:tr w:rsidR="00654ECD" w:rsidRPr="009571D3" w:rsidTr="00BF0EF3">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autoSpaceDE w:val="0"/>
              <w:ind w:left="34"/>
              <w:jc w:val="both"/>
              <w:rPr>
                <w:rFonts w:cs="Arial"/>
                <w:sz w:val="20"/>
                <w:szCs w:val="20"/>
              </w:rPr>
            </w:pPr>
            <w:r w:rsidRPr="00654ECD">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tcBorders>
              <w:top w:val="single" w:sz="4" w:space="0" w:color="000000"/>
              <w:left w:val="single" w:sz="4" w:space="0" w:color="000000"/>
              <w:bottom w:val="single" w:sz="4" w:space="0" w:color="000000"/>
            </w:tcBorders>
            <w:shd w:val="clear" w:color="auto" w:fill="auto"/>
            <w:vAlign w:val="center"/>
          </w:tcPr>
          <w:p w:rsidR="00654ECD" w:rsidRPr="0074540B" w:rsidRDefault="00654ECD" w:rsidP="00654ECD">
            <w:pPr>
              <w:tabs>
                <w:tab w:val="left" w:pos="644"/>
              </w:tabs>
              <w:autoSpaceDE w:val="0"/>
              <w:ind w:left="34"/>
              <w:jc w:val="both"/>
              <w:rPr>
                <w:rFonts w:cs="Arial"/>
                <w:sz w:val="20"/>
                <w:szCs w:val="20"/>
              </w:rPr>
            </w:pPr>
            <w:r w:rsidRPr="0074540B">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Pr>
                <w:rFonts w:cs="Arial"/>
                <w:sz w:val="20"/>
                <w:szCs w:val="20"/>
              </w:rPr>
              <w:t>н</w:t>
            </w:r>
            <w:r w:rsidRPr="00654ECD">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ECD" w:rsidRPr="00654ECD" w:rsidRDefault="00654ECD" w:rsidP="009F7E46">
            <w:pPr>
              <w:rPr>
                <w:rFonts w:cs="Arial"/>
                <w:sz w:val="20"/>
                <w:szCs w:val="20"/>
              </w:rPr>
            </w:pPr>
            <w:r w:rsidRPr="00654ECD">
              <w:rPr>
                <w:rFonts w:cs="Arial"/>
                <w:sz w:val="20"/>
                <w:szCs w:val="20"/>
              </w:rPr>
              <w:t>наличие</w:t>
            </w:r>
          </w:p>
        </w:tc>
      </w:tr>
      <w:tr w:rsidR="00654ECD" w:rsidRPr="00E77012" w:rsidTr="00BF0EF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autoSpaceDE w:val="0"/>
              <w:jc w:val="both"/>
              <w:rPr>
                <w:rFonts w:cs="Arial"/>
                <w:sz w:val="20"/>
                <w:szCs w:val="20"/>
              </w:rPr>
            </w:pPr>
            <w:r w:rsidRPr="00654ECD">
              <w:rPr>
                <w:rFonts w:cs="Arial"/>
                <w:sz w:val="20"/>
                <w:szCs w:val="20"/>
              </w:rPr>
              <w:t>Производственная ба</w:t>
            </w:r>
            <w:r w:rsidR="004D06D9">
              <w:rPr>
                <w:rFonts w:cs="Arial"/>
                <w:sz w:val="20"/>
                <w:szCs w:val="20"/>
              </w:rPr>
              <w:t>за организации, с производствен</w:t>
            </w:r>
            <w:r w:rsidRPr="00654ECD">
              <w:rPr>
                <w:rFonts w:cs="Arial"/>
                <w:sz w:val="20"/>
                <w:szCs w:val="20"/>
              </w:rPr>
              <w:t xml:space="preserve">ными мощностями или ее аренда. </w:t>
            </w:r>
          </w:p>
        </w:tc>
        <w:tc>
          <w:tcPr>
            <w:tcW w:w="2693" w:type="dxa"/>
            <w:tcBorders>
              <w:top w:val="single" w:sz="4" w:space="0" w:color="000000"/>
              <w:left w:val="single" w:sz="4" w:space="0" w:color="000000"/>
              <w:bottom w:val="single" w:sz="4" w:space="0" w:color="000000"/>
            </w:tcBorders>
            <w:shd w:val="clear" w:color="auto" w:fill="auto"/>
            <w:vAlign w:val="center"/>
          </w:tcPr>
          <w:p w:rsidR="00654ECD" w:rsidRPr="0074540B" w:rsidRDefault="00654ECD" w:rsidP="00654ECD">
            <w:pPr>
              <w:autoSpaceDE w:val="0"/>
              <w:ind w:left="34"/>
              <w:rPr>
                <w:rFonts w:cs="Arial"/>
                <w:sz w:val="20"/>
                <w:szCs w:val="20"/>
              </w:rPr>
            </w:pPr>
            <w:r w:rsidRPr="0074540B">
              <w:rPr>
                <w:rFonts w:cs="Arial"/>
                <w:sz w:val="20"/>
                <w:szCs w:val="20"/>
              </w:rPr>
              <w:t>Справка о наличии производственных мощностей (Форма 9) с обязательным приложением копии документа, подтверждающего собственность либо аренду.</w:t>
            </w:r>
          </w:p>
        </w:tc>
        <w:tc>
          <w:tcPr>
            <w:tcW w:w="1569" w:type="dxa"/>
            <w:tcBorders>
              <w:top w:val="single" w:sz="4" w:space="0" w:color="000000"/>
              <w:left w:val="single" w:sz="4" w:space="0" w:color="000000"/>
              <w:bottom w:val="single" w:sz="4" w:space="0" w:color="000000"/>
            </w:tcBorders>
            <w:shd w:val="clear" w:color="auto" w:fill="auto"/>
          </w:tcPr>
          <w:p w:rsidR="00654ECD" w:rsidRPr="00654ECD" w:rsidRDefault="00BF0EF3" w:rsidP="00654ECD">
            <w:pPr>
              <w:rPr>
                <w:rFonts w:cs="Arial"/>
                <w:sz w:val="20"/>
                <w:szCs w:val="20"/>
              </w:rPr>
            </w:pPr>
            <w:r>
              <w:rPr>
                <w:rFonts w:cs="Arial"/>
                <w:sz w:val="20"/>
                <w:szCs w:val="20"/>
              </w:rPr>
              <w:t>н</w:t>
            </w:r>
            <w:r w:rsidR="00654ECD" w:rsidRPr="00654ECD">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54ECD" w:rsidRPr="00654ECD" w:rsidRDefault="00654ECD" w:rsidP="00654ECD">
            <w:pPr>
              <w:rPr>
                <w:rFonts w:cs="Arial"/>
                <w:sz w:val="20"/>
                <w:szCs w:val="20"/>
              </w:rPr>
            </w:pPr>
            <w:r w:rsidRPr="00654ECD">
              <w:rPr>
                <w:rFonts w:cs="Arial"/>
                <w:sz w:val="20"/>
                <w:szCs w:val="20"/>
              </w:rPr>
              <w:t>наличие</w:t>
            </w:r>
          </w:p>
        </w:tc>
        <w:tc>
          <w:tcPr>
            <w:tcW w:w="750" w:type="dxa"/>
            <w:vAlign w:val="center"/>
          </w:tcPr>
          <w:p w:rsidR="00654ECD" w:rsidRPr="00E77012" w:rsidRDefault="00654ECD" w:rsidP="00654ECD">
            <w:pPr>
              <w:rPr>
                <w:rFonts w:cs="Arial"/>
              </w:rPr>
            </w:pPr>
          </w:p>
        </w:tc>
      </w:tr>
      <w:tr w:rsidR="00654ECD" w:rsidRPr="00E77012" w:rsidTr="00BF0EF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autoSpaceDE w:val="0"/>
              <w:ind w:left="34"/>
              <w:jc w:val="both"/>
              <w:rPr>
                <w:rFonts w:eastAsia="Calibri" w:cs="Arial"/>
                <w:sz w:val="20"/>
                <w:szCs w:val="20"/>
              </w:rPr>
            </w:pPr>
            <w:r w:rsidRPr="00654ECD">
              <w:rPr>
                <w:rFonts w:cs="Arial"/>
                <w:sz w:val="20"/>
                <w:szCs w:val="20"/>
              </w:rPr>
              <w:t>Для обеспечения работ организация должна иметь:</w:t>
            </w:r>
          </w:p>
        </w:tc>
        <w:tc>
          <w:tcPr>
            <w:tcW w:w="2693" w:type="dxa"/>
            <w:tcBorders>
              <w:top w:val="single" w:sz="4" w:space="0" w:color="000000"/>
              <w:left w:val="single" w:sz="4" w:space="0" w:color="000000"/>
              <w:bottom w:val="single" w:sz="4" w:space="0" w:color="000000"/>
            </w:tcBorders>
            <w:shd w:val="clear" w:color="auto" w:fill="auto"/>
            <w:vAlign w:val="center"/>
          </w:tcPr>
          <w:p w:rsidR="00654ECD" w:rsidRPr="0074540B" w:rsidRDefault="00654ECD" w:rsidP="00654ECD">
            <w:pPr>
              <w:autoSpaceDE w:val="0"/>
              <w:ind w:left="34"/>
              <w:jc w:val="both"/>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ECD" w:rsidRPr="00654ECD" w:rsidRDefault="00654ECD" w:rsidP="00654ECD">
            <w:pPr>
              <w:rPr>
                <w:rFonts w:cs="Arial"/>
                <w:sz w:val="20"/>
                <w:szCs w:val="20"/>
              </w:rPr>
            </w:pPr>
          </w:p>
        </w:tc>
        <w:tc>
          <w:tcPr>
            <w:tcW w:w="750" w:type="dxa"/>
            <w:vAlign w:val="center"/>
          </w:tcPr>
          <w:p w:rsidR="00654ECD" w:rsidRPr="00E77012" w:rsidRDefault="00654ECD" w:rsidP="00654ECD">
            <w:pPr>
              <w:rPr>
                <w:rFonts w:cs="Arial"/>
              </w:rPr>
            </w:pPr>
          </w:p>
        </w:tc>
      </w:tr>
      <w:tr w:rsidR="00654ECD" w:rsidRPr="00E77012" w:rsidTr="00BF0EF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autoSpaceDE w:val="0"/>
              <w:jc w:val="both"/>
              <w:rPr>
                <w:rFonts w:cs="Arial"/>
                <w:sz w:val="20"/>
                <w:szCs w:val="20"/>
              </w:rPr>
            </w:pPr>
            <w:r w:rsidRPr="00654ECD">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693" w:type="dxa"/>
            <w:tcBorders>
              <w:top w:val="single" w:sz="4" w:space="0" w:color="000000"/>
              <w:left w:val="single" w:sz="4" w:space="0" w:color="000000"/>
              <w:bottom w:val="single" w:sz="4" w:space="0" w:color="000000"/>
            </w:tcBorders>
            <w:shd w:val="clear" w:color="auto" w:fill="auto"/>
            <w:vAlign w:val="center"/>
          </w:tcPr>
          <w:p w:rsidR="00654ECD" w:rsidRPr="0074540B" w:rsidRDefault="00654ECD" w:rsidP="00654ECD">
            <w:pPr>
              <w:autoSpaceDE w:val="0"/>
              <w:ind w:left="34"/>
              <w:jc w:val="both"/>
              <w:rPr>
                <w:rFonts w:cs="Arial"/>
                <w:sz w:val="20"/>
                <w:szCs w:val="20"/>
              </w:rPr>
            </w:pPr>
            <w:r w:rsidRPr="0074540B">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654ECD" w:rsidRPr="00654ECD" w:rsidRDefault="00654ECD" w:rsidP="00654ECD">
            <w:pPr>
              <w:rPr>
                <w:rFonts w:cs="Arial"/>
                <w:sz w:val="20"/>
                <w:szCs w:val="20"/>
              </w:rPr>
            </w:pPr>
            <w:r w:rsidRPr="00654ECD">
              <w:rPr>
                <w:rFonts w:cs="Arial"/>
                <w:sz w:val="20"/>
                <w:szCs w:val="20"/>
              </w:rPr>
              <w:t xml:space="preserve">Не менее 1 инженера по ТБ на 50 работников подрядной организации, </w:t>
            </w:r>
            <w:r w:rsidRPr="00654ECD">
              <w:rPr>
                <w:rFonts w:cs="Arial"/>
                <w:sz w:val="20"/>
                <w:szCs w:val="20"/>
              </w:rPr>
              <w:lastRenderedPageBreak/>
              <w:t>непосредст-вено выполняю-щих работы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54ECD" w:rsidRPr="00654ECD" w:rsidRDefault="00654ECD" w:rsidP="00654ECD">
            <w:pPr>
              <w:rPr>
                <w:rFonts w:cs="Arial"/>
                <w:sz w:val="20"/>
                <w:szCs w:val="20"/>
              </w:rPr>
            </w:pPr>
            <w:r w:rsidRPr="00654ECD">
              <w:rPr>
                <w:rFonts w:cs="Arial"/>
                <w:sz w:val="20"/>
                <w:szCs w:val="20"/>
              </w:rPr>
              <w:lastRenderedPageBreak/>
              <w:t>наличие</w:t>
            </w:r>
          </w:p>
        </w:tc>
        <w:tc>
          <w:tcPr>
            <w:tcW w:w="750" w:type="dxa"/>
            <w:vAlign w:val="center"/>
          </w:tcPr>
          <w:p w:rsidR="00654ECD" w:rsidRPr="00E77012" w:rsidRDefault="00654ECD" w:rsidP="00654ECD">
            <w:pPr>
              <w:rPr>
                <w:rFonts w:cs="Arial"/>
              </w:rPr>
            </w:pPr>
          </w:p>
        </w:tc>
      </w:tr>
      <w:tr w:rsidR="00654ECD" w:rsidTr="00BF0EF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autoSpaceDE w:val="0"/>
              <w:jc w:val="both"/>
              <w:rPr>
                <w:rFonts w:cs="Arial"/>
                <w:sz w:val="20"/>
                <w:szCs w:val="20"/>
              </w:rPr>
            </w:pPr>
            <w:r w:rsidRPr="00654ECD">
              <w:rPr>
                <w:rFonts w:cs="Arial"/>
                <w:sz w:val="20"/>
                <w:szCs w:val="20"/>
              </w:rPr>
              <w:t>Наличие персонала в области сервисного и технического обслуживания кондиционерной техники:</w:t>
            </w:r>
          </w:p>
          <w:p w:rsidR="00654ECD" w:rsidRPr="00654ECD" w:rsidRDefault="00654ECD" w:rsidP="00654ECD">
            <w:pPr>
              <w:autoSpaceDE w:val="0"/>
              <w:jc w:val="both"/>
              <w:rPr>
                <w:rFonts w:cs="Arial"/>
                <w:sz w:val="20"/>
                <w:szCs w:val="20"/>
              </w:rPr>
            </w:pPr>
            <w:r w:rsidRPr="00654ECD">
              <w:rPr>
                <w:rFonts w:cs="Arial"/>
                <w:sz w:val="20"/>
                <w:szCs w:val="20"/>
              </w:rPr>
              <w:t xml:space="preserve">- слесарей по техническому и сервисному обслуживанию систем кондиционирования, прошедших обучение безопасным методам и приемам выполнения работ на высоте - 1, 2, 3 групп по безопасности, </w:t>
            </w:r>
          </w:p>
        </w:tc>
        <w:tc>
          <w:tcPr>
            <w:tcW w:w="2693" w:type="dxa"/>
            <w:tcBorders>
              <w:top w:val="single" w:sz="4" w:space="0" w:color="000000"/>
              <w:left w:val="single" w:sz="4" w:space="0" w:color="000000"/>
              <w:bottom w:val="single" w:sz="4" w:space="0" w:color="000000"/>
            </w:tcBorders>
            <w:shd w:val="clear" w:color="auto" w:fill="auto"/>
            <w:vAlign w:val="center"/>
          </w:tcPr>
          <w:p w:rsidR="00654ECD" w:rsidRPr="0074540B" w:rsidRDefault="00654ECD" w:rsidP="00654ECD">
            <w:pPr>
              <w:autoSpaceDE w:val="0"/>
              <w:jc w:val="both"/>
              <w:rPr>
                <w:rFonts w:cs="Arial"/>
                <w:sz w:val="20"/>
                <w:szCs w:val="20"/>
              </w:rPr>
            </w:pPr>
            <w:r w:rsidRPr="0074540B">
              <w:rPr>
                <w:rFonts w:cs="Arial"/>
                <w:sz w:val="20"/>
                <w:szCs w:val="20"/>
              </w:rPr>
              <w:t>Справка о кадровых ресурсах для выполнения работ по предмету закупки, за подписью руководителя организац</w:t>
            </w:r>
            <w:r w:rsidR="003902C4" w:rsidRPr="0074540B">
              <w:rPr>
                <w:rFonts w:cs="Arial"/>
                <w:sz w:val="20"/>
                <w:szCs w:val="20"/>
              </w:rPr>
              <w:t>ии (Форма 8)</w:t>
            </w:r>
            <w:r w:rsidRPr="0074540B">
              <w:rPr>
                <w:rFonts w:cs="Arial"/>
                <w:sz w:val="20"/>
                <w:szCs w:val="20"/>
              </w:rPr>
              <w:t>.</w:t>
            </w:r>
          </w:p>
        </w:tc>
        <w:tc>
          <w:tcPr>
            <w:tcW w:w="1569"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highlight w:val="yellow"/>
              </w:rPr>
            </w:pPr>
            <w:r w:rsidRPr="00654EC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ECD" w:rsidRPr="00654ECD" w:rsidRDefault="00654ECD" w:rsidP="00654ECD">
            <w:pPr>
              <w:rPr>
                <w:rFonts w:cs="Arial"/>
                <w:sz w:val="20"/>
                <w:szCs w:val="20"/>
                <w:highlight w:val="green"/>
              </w:rPr>
            </w:pPr>
            <w:r w:rsidRPr="00654ECD">
              <w:rPr>
                <w:rFonts w:cs="Arial"/>
                <w:sz w:val="20"/>
                <w:szCs w:val="20"/>
              </w:rPr>
              <w:t>5 и более</w:t>
            </w:r>
          </w:p>
        </w:tc>
        <w:tc>
          <w:tcPr>
            <w:tcW w:w="750" w:type="dxa"/>
            <w:vAlign w:val="center"/>
          </w:tcPr>
          <w:p w:rsidR="00654ECD" w:rsidRDefault="00654ECD" w:rsidP="00654ECD">
            <w:pPr>
              <w:rPr>
                <w:rFonts w:cs="Arial"/>
              </w:rPr>
            </w:pPr>
          </w:p>
        </w:tc>
      </w:tr>
      <w:tr w:rsidR="00654ECD" w:rsidTr="00BF0EF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5.1</w:t>
            </w:r>
          </w:p>
        </w:tc>
        <w:tc>
          <w:tcPr>
            <w:tcW w:w="3676" w:type="dxa"/>
            <w:tcBorders>
              <w:top w:val="single" w:sz="4" w:space="0" w:color="000000"/>
              <w:left w:val="single" w:sz="4" w:space="0" w:color="000000"/>
              <w:bottom w:val="single" w:sz="4" w:space="0" w:color="000000"/>
            </w:tcBorders>
            <w:shd w:val="clear" w:color="auto" w:fill="auto"/>
          </w:tcPr>
          <w:p w:rsidR="00654ECD" w:rsidRPr="00654ECD" w:rsidRDefault="00654ECD" w:rsidP="009F7E46">
            <w:pPr>
              <w:spacing w:before="0"/>
              <w:jc w:val="both"/>
              <w:rPr>
                <w:rFonts w:cs="Arial"/>
                <w:sz w:val="20"/>
                <w:szCs w:val="20"/>
              </w:rPr>
            </w:pPr>
            <w:r w:rsidRPr="00654ECD">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654ECD">
              <w:rPr>
                <w:rFonts w:cs="Arial"/>
                <w:sz w:val="20"/>
                <w:szCs w:val="20"/>
                <w:vertAlign w:val="subscript"/>
              </w:rPr>
              <w:t>1</w:t>
            </w:r>
            <w:r w:rsidRPr="00654ECD">
              <w:rPr>
                <w:rFonts w:cs="Arial"/>
                <w:sz w:val="20"/>
                <w:szCs w:val="20"/>
              </w:rPr>
              <w:t xml:space="preserve">, </w:t>
            </w:r>
          </w:p>
          <w:p w:rsidR="00654ECD" w:rsidRPr="00654ECD" w:rsidRDefault="00654ECD" w:rsidP="009F7E46">
            <w:pPr>
              <w:spacing w:before="0"/>
              <w:jc w:val="both"/>
              <w:rPr>
                <w:rFonts w:cs="Arial"/>
                <w:color w:val="0070C0"/>
                <w:sz w:val="20"/>
                <w:szCs w:val="20"/>
              </w:rPr>
            </w:pPr>
            <w:r w:rsidRPr="00654ECD">
              <w:rPr>
                <w:rFonts w:cs="Arial"/>
                <w:sz w:val="20"/>
                <w:szCs w:val="20"/>
              </w:rPr>
              <w:t>Б</w:t>
            </w:r>
            <w:r w:rsidRPr="00654ECD">
              <w:rPr>
                <w:rFonts w:cs="Arial"/>
                <w:sz w:val="20"/>
                <w:szCs w:val="20"/>
                <w:vertAlign w:val="subscript"/>
              </w:rPr>
              <w:t>1 .17</w:t>
            </w:r>
          </w:p>
        </w:tc>
        <w:tc>
          <w:tcPr>
            <w:tcW w:w="2693" w:type="dxa"/>
            <w:tcBorders>
              <w:top w:val="single" w:sz="4" w:space="0" w:color="000000"/>
              <w:left w:val="single" w:sz="4" w:space="0" w:color="000000"/>
              <w:bottom w:val="single" w:sz="4" w:space="0" w:color="000000"/>
            </w:tcBorders>
            <w:shd w:val="clear" w:color="auto" w:fill="auto"/>
          </w:tcPr>
          <w:p w:rsidR="00654ECD" w:rsidRPr="0074540B" w:rsidRDefault="00654ECD" w:rsidP="00654ECD">
            <w:pPr>
              <w:rPr>
                <w:rFonts w:cs="Arial"/>
                <w:sz w:val="20"/>
                <w:szCs w:val="20"/>
              </w:rPr>
            </w:pPr>
            <w:r w:rsidRPr="0074540B">
              <w:rPr>
                <w:rFonts w:cs="Arial"/>
                <w:sz w:val="20"/>
                <w:szCs w:val="20"/>
              </w:rPr>
              <w:t>Копии свидетельств и протоколов комиссий об аттестации (допускается предоставление гарантийного письма об обучении персонала по требуемым категориям пром. безопасности).</w:t>
            </w:r>
          </w:p>
          <w:p w:rsidR="00654ECD" w:rsidRPr="0074540B" w:rsidRDefault="00654ECD" w:rsidP="00654EC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ECD" w:rsidRPr="00654ECD" w:rsidRDefault="00654ECD" w:rsidP="00654ECD">
            <w:pPr>
              <w:rPr>
                <w:rFonts w:cs="Arial"/>
                <w:sz w:val="20"/>
                <w:szCs w:val="20"/>
                <w:highlight w:val="yellow"/>
              </w:rPr>
            </w:pPr>
            <w:r w:rsidRPr="00654ECD">
              <w:rPr>
                <w:rFonts w:cs="Arial"/>
                <w:sz w:val="20"/>
                <w:szCs w:val="20"/>
              </w:rPr>
              <w:t>1 и более</w:t>
            </w:r>
          </w:p>
        </w:tc>
        <w:tc>
          <w:tcPr>
            <w:tcW w:w="750" w:type="dxa"/>
            <w:vAlign w:val="center"/>
          </w:tcPr>
          <w:p w:rsidR="00654ECD" w:rsidRDefault="00654ECD" w:rsidP="00654ECD">
            <w:pPr>
              <w:rPr>
                <w:rFonts w:cs="Arial"/>
              </w:rPr>
            </w:pPr>
          </w:p>
        </w:tc>
      </w:tr>
      <w:tr w:rsidR="00654ECD" w:rsidTr="00BF0EF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6</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eastAsia="Calibri" w:cs="Arial"/>
                <w:sz w:val="20"/>
                <w:szCs w:val="20"/>
              </w:rPr>
            </w:pPr>
            <w:r w:rsidRPr="00654ECD">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654ECD" w:rsidRPr="0074540B" w:rsidRDefault="00654ECD" w:rsidP="00654ECD">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ECD" w:rsidRPr="00654ECD" w:rsidRDefault="00654ECD" w:rsidP="00654ECD">
            <w:pPr>
              <w:rPr>
                <w:rFonts w:cs="Arial"/>
                <w:sz w:val="20"/>
                <w:szCs w:val="20"/>
              </w:rPr>
            </w:pPr>
          </w:p>
        </w:tc>
        <w:tc>
          <w:tcPr>
            <w:tcW w:w="750" w:type="dxa"/>
            <w:vAlign w:val="center"/>
          </w:tcPr>
          <w:p w:rsidR="00654ECD" w:rsidRDefault="00654ECD" w:rsidP="00654ECD">
            <w:pPr>
              <w:rPr>
                <w:rFonts w:cs="Arial"/>
              </w:rPr>
            </w:pPr>
          </w:p>
        </w:tc>
      </w:tr>
      <w:tr w:rsidR="00654ECD" w:rsidTr="00BF0EF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6.1</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 наличие или аренда грузовой транспортной техники для перевозки оборудования, запчастей, материалов,</w:t>
            </w:r>
          </w:p>
        </w:tc>
        <w:tc>
          <w:tcPr>
            <w:tcW w:w="2693" w:type="dxa"/>
            <w:vMerge w:val="restart"/>
            <w:tcBorders>
              <w:top w:val="single" w:sz="4" w:space="0" w:color="000000"/>
              <w:left w:val="single" w:sz="4" w:space="0" w:color="000000"/>
            </w:tcBorders>
            <w:shd w:val="clear" w:color="auto" w:fill="auto"/>
            <w:vAlign w:val="center"/>
          </w:tcPr>
          <w:p w:rsidR="00654ECD" w:rsidRPr="0074540B" w:rsidRDefault="00654ECD" w:rsidP="00654ECD">
            <w:pPr>
              <w:rPr>
                <w:rFonts w:cs="Arial"/>
                <w:sz w:val="20"/>
                <w:szCs w:val="20"/>
              </w:rPr>
            </w:pPr>
          </w:p>
          <w:p w:rsidR="00654ECD" w:rsidRPr="0074540B" w:rsidRDefault="00654ECD" w:rsidP="00654ECD">
            <w:pPr>
              <w:rPr>
                <w:rFonts w:cs="Arial"/>
                <w:sz w:val="20"/>
                <w:szCs w:val="20"/>
              </w:rPr>
            </w:pPr>
            <w:r w:rsidRPr="0074540B">
              <w:rPr>
                <w:rFonts w:cs="Arial"/>
                <w:sz w:val="20"/>
                <w:szCs w:val="20"/>
              </w:rPr>
              <w:t>Справка о наличии производственных мощностей (Форма 9) с указанием собственности или аренды данной техники.</w:t>
            </w:r>
          </w:p>
          <w:p w:rsidR="00654ECD" w:rsidRPr="0074540B" w:rsidRDefault="00654ECD" w:rsidP="00654EC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54ECD" w:rsidRPr="00654ECD" w:rsidRDefault="00BF0EF3" w:rsidP="00654ECD">
            <w:pPr>
              <w:rPr>
                <w:rFonts w:cs="Arial"/>
                <w:sz w:val="20"/>
                <w:szCs w:val="20"/>
              </w:rPr>
            </w:pPr>
            <w:r>
              <w:rPr>
                <w:rFonts w:cs="Arial"/>
                <w:sz w:val="20"/>
                <w:szCs w:val="20"/>
              </w:rPr>
              <w:t>е</w:t>
            </w:r>
            <w:r w:rsidR="00654ECD" w:rsidRPr="00654EC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ECD" w:rsidRPr="00654ECD" w:rsidRDefault="00654ECD" w:rsidP="00654ECD">
            <w:pPr>
              <w:rPr>
                <w:rFonts w:cs="Arial"/>
                <w:sz w:val="20"/>
                <w:szCs w:val="20"/>
                <w:highlight w:val="green"/>
              </w:rPr>
            </w:pPr>
            <w:r w:rsidRPr="00654ECD">
              <w:rPr>
                <w:rFonts w:cs="Arial"/>
                <w:sz w:val="20"/>
                <w:szCs w:val="20"/>
              </w:rPr>
              <w:t>1 и более</w:t>
            </w:r>
          </w:p>
        </w:tc>
        <w:tc>
          <w:tcPr>
            <w:tcW w:w="750" w:type="dxa"/>
            <w:vAlign w:val="center"/>
          </w:tcPr>
          <w:p w:rsidR="00654ECD" w:rsidRDefault="00654ECD" w:rsidP="00654ECD">
            <w:pPr>
              <w:rPr>
                <w:rFonts w:cs="Arial"/>
              </w:rPr>
            </w:pPr>
          </w:p>
        </w:tc>
      </w:tr>
      <w:tr w:rsidR="00654ECD" w:rsidTr="00BF0EF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6.2</w:t>
            </w:r>
          </w:p>
        </w:tc>
        <w:tc>
          <w:tcPr>
            <w:tcW w:w="3676" w:type="dxa"/>
            <w:tcBorders>
              <w:top w:val="single" w:sz="4" w:space="0" w:color="000000"/>
              <w:left w:val="single" w:sz="4" w:space="0" w:color="000000"/>
              <w:bottom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 наличие или аренда наружных и внутренних трубчатых инвентарных лесов высотой до 16 м, площадью   4 м</w:t>
            </w:r>
            <w:r w:rsidRPr="00654ECD">
              <w:rPr>
                <w:rFonts w:cs="Arial"/>
                <w:sz w:val="20"/>
                <w:szCs w:val="20"/>
                <w:vertAlign w:val="superscript"/>
              </w:rPr>
              <w:t>2</w:t>
            </w:r>
            <w:r w:rsidRPr="00654ECD">
              <w:rPr>
                <w:rFonts w:cs="Arial"/>
                <w:sz w:val="20"/>
                <w:szCs w:val="20"/>
              </w:rPr>
              <w:t>, подвесными лестницами,  ограждениями и настилами, вышек-туров, лесов ножничного типа.</w:t>
            </w:r>
          </w:p>
        </w:tc>
        <w:tc>
          <w:tcPr>
            <w:tcW w:w="2693" w:type="dxa"/>
            <w:vMerge/>
            <w:tcBorders>
              <w:left w:val="single" w:sz="4" w:space="0" w:color="000000"/>
              <w:bottom w:val="single" w:sz="4" w:space="0" w:color="auto"/>
            </w:tcBorders>
            <w:shd w:val="clear" w:color="auto" w:fill="auto"/>
          </w:tcPr>
          <w:p w:rsidR="00654ECD" w:rsidRPr="00654ECD" w:rsidRDefault="00654ECD" w:rsidP="00654EC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54ECD" w:rsidRPr="00654ECD" w:rsidRDefault="00BF0EF3" w:rsidP="00654ECD">
            <w:pPr>
              <w:rPr>
                <w:rFonts w:cs="Arial"/>
                <w:sz w:val="20"/>
                <w:szCs w:val="20"/>
              </w:rPr>
            </w:pPr>
            <w:r>
              <w:rPr>
                <w:rFonts w:cs="Arial"/>
                <w:sz w:val="20"/>
                <w:szCs w:val="20"/>
              </w:rPr>
              <w:t>к</w:t>
            </w:r>
            <w:r w:rsidR="00654ECD" w:rsidRPr="00654ECD">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ECD" w:rsidRPr="00654ECD" w:rsidRDefault="00654ECD" w:rsidP="00654ECD">
            <w:pPr>
              <w:rPr>
                <w:rFonts w:cs="Arial"/>
                <w:sz w:val="20"/>
                <w:szCs w:val="20"/>
              </w:rPr>
            </w:pPr>
            <w:r w:rsidRPr="00654ECD">
              <w:rPr>
                <w:rFonts w:cs="Arial"/>
                <w:sz w:val="20"/>
                <w:szCs w:val="20"/>
              </w:rPr>
              <w:t>1 и более</w:t>
            </w:r>
          </w:p>
        </w:tc>
        <w:tc>
          <w:tcPr>
            <w:tcW w:w="750" w:type="dxa"/>
            <w:vAlign w:val="center"/>
          </w:tcPr>
          <w:p w:rsidR="00654ECD" w:rsidRDefault="00654ECD" w:rsidP="00654ECD">
            <w:pPr>
              <w:rPr>
                <w:rFonts w:cs="Arial"/>
              </w:rPr>
            </w:pP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lastRenderedPageBreak/>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95160" w:rsidRDefault="00B95160">
      <w:pPr>
        <w:spacing w:before="0" w:line="276" w:lineRule="auto"/>
        <w:jc w:val="center"/>
        <w:rPr>
          <w:b/>
        </w:rPr>
      </w:pP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A3E2C">
        <w:rPr>
          <w:szCs w:val="22"/>
        </w:rPr>
        <w:t xml:space="preserve">делать оферты </w:t>
      </w:r>
      <w:r w:rsidR="008761AE" w:rsidRPr="005A3E2C">
        <w:rPr>
          <w:szCs w:val="22"/>
        </w:rPr>
        <w:t>№</w:t>
      </w:r>
      <w:r w:rsidR="005A3E2C" w:rsidRPr="005A3E2C">
        <w:rPr>
          <w:szCs w:val="22"/>
        </w:rPr>
        <w:t>001</w:t>
      </w:r>
      <w:r w:rsidR="008761AE" w:rsidRPr="005A3E2C">
        <w:rPr>
          <w:szCs w:val="22"/>
        </w:rPr>
        <w:t>-</w:t>
      </w:r>
      <w:r w:rsidR="008761AE" w:rsidRPr="00780A52">
        <w:rPr>
          <w:szCs w:val="22"/>
        </w:rPr>
        <w:t>КР-</w:t>
      </w:r>
      <w:r w:rsidR="008761AE">
        <w:rPr>
          <w:szCs w:val="22"/>
        </w:rPr>
        <w:t>201</w:t>
      </w:r>
      <w:r w:rsidR="005A3E2C">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74540B" w:rsidRPr="00A2618E">
        <w:rPr>
          <w:rFonts w:cs="Arial"/>
          <w:b/>
          <w:szCs w:val="22"/>
        </w:rPr>
        <w:t>выполнение работ по сервисному обслуживанию и ремонту кондиционеров ОАО «Славнефть-ЯНОС»</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Форма 5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74540B" w:rsidP="00766E12">
            <w:pPr>
              <w:tabs>
                <w:tab w:val="left" w:pos="3240"/>
              </w:tabs>
              <w:rPr>
                <w:rFonts w:ascii="Times New Roman" w:hAnsi="Times New Roman"/>
                <w:sz w:val="24"/>
              </w:rPr>
            </w:pPr>
            <w:r w:rsidRPr="0074540B">
              <w:rPr>
                <w:rFonts w:ascii="Times New Roman" w:hAnsi="Times New Roman"/>
                <w:sz w:val="24"/>
              </w:rPr>
              <w:t>Выполнение работ по сервисному обслуживанию и ремонту кондиционеров ОАО «Славнефть-ЯНОС»</w:t>
            </w:r>
          </w:p>
        </w:tc>
      </w:tr>
      <w:tr w:rsidR="00F30C65" w:rsidRPr="00F30C65" w:rsidTr="00DA41EF">
        <w:trPr>
          <w:trHeight w:val="521"/>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675"/>
        </w:trPr>
        <w:tc>
          <w:tcPr>
            <w:tcW w:w="6369" w:type="dxa"/>
          </w:tcPr>
          <w:p w:rsidR="00F30C65" w:rsidRPr="00766E12" w:rsidRDefault="00766E12" w:rsidP="00766E12">
            <w:pPr>
              <w:tabs>
                <w:tab w:val="left" w:pos="2880"/>
                <w:tab w:val="left" w:pos="3240"/>
              </w:tabs>
              <w:rPr>
                <w:rFonts w:ascii="Times New Roman" w:hAnsi="Times New Roman"/>
                <w:sz w:val="24"/>
              </w:rPr>
            </w:pPr>
            <w:r w:rsidRPr="00766E12">
              <w:rPr>
                <w:rFonts w:ascii="Times New Roman" w:hAnsi="Times New Roman"/>
                <w:sz w:val="24"/>
              </w:rPr>
              <w:t>Стоимость работ</w:t>
            </w:r>
            <w:r w:rsidR="00136720">
              <w:rPr>
                <w:rFonts w:ascii="Times New Roman" w:hAnsi="Times New Roman"/>
                <w:sz w:val="24"/>
              </w:rPr>
              <w:t xml:space="preserve"> по</w:t>
            </w:r>
            <w:r w:rsidRPr="00766E12">
              <w:rPr>
                <w:rFonts w:ascii="Times New Roman" w:hAnsi="Times New Roman"/>
                <w:sz w:val="24"/>
              </w:rPr>
              <w:t xml:space="preserve"> </w:t>
            </w:r>
            <w:r w:rsidR="0074540B" w:rsidRPr="0074540B">
              <w:rPr>
                <w:rFonts w:ascii="Times New Roman" w:hAnsi="Times New Roman"/>
                <w:sz w:val="24"/>
              </w:rPr>
              <w:t xml:space="preserve">сервисному обслуживанию кондиционеров </w:t>
            </w:r>
            <w:r w:rsidR="0074540B" w:rsidRPr="00310CEA">
              <w:rPr>
                <w:rFonts w:ascii="Times New Roman" w:hAnsi="Times New Roman"/>
                <w:b/>
                <w:sz w:val="24"/>
                <w:u w:val="single"/>
              </w:rPr>
              <w:t>в год</w:t>
            </w:r>
            <w:r w:rsidR="00F30C65" w:rsidRPr="00C21306">
              <w:rPr>
                <w:rFonts w:ascii="Times New Roman" w:hAnsi="Times New Roman"/>
                <w:sz w:val="24"/>
              </w:rPr>
              <w:t>, рублей без НДС</w:t>
            </w:r>
            <w:r w:rsidR="0074540B">
              <w:rPr>
                <w:rFonts w:ascii="Times New Roman" w:hAnsi="Times New Roman"/>
                <w:sz w:val="24"/>
              </w:rPr>
              <w:t xml:space="preserve"> (в соответствии с Приложением №3 к Договору)</w:t>
            </w:r>
          </w:p>
        </w:tc>
        <w:tc>
          <w:tcPr>
            <w:tcW w:w="3093" w:type="dxa"/>
          </w:tcPr>
          <w:p w:rsidR="00F30C65" w:rsidRPr="00F30C65" w:rsidRDefault="00F30C65" w:rsidP="00DA41EF">
            <w:pPr>
              <w:tabs>
                <w:tab w:val="left" w:pos="3240"/>
              </w:tabs>
              <w:jc w:val="both"/>
              <w:rPr>
                <w:rFonts w:ascii="Times New Roman" w:hAnsi="Times New Roman"/>
                <w:sz w:val="24"/>
              </w:rPr>
            </w:pPr>
          </w:p>
        </w:tc>
      </w:tr>
      <w:tr w:rsidR="0074540B" w:rsidRPr="00F30C65" w:rsidTr="00DA41EF">
        <w:trPr>
          <w:trHeight w:val="675"/>
        </w:trPr>
        <w:tc>
          <w:tcPr>
            <w:tcW w:w="6369" w:type="dxa"/>
          </w:tcPr>
          <w:p w:rsidR="0074540B" w:rsidRPr="00766E12" w:rsidRDefault="00136720" w:rsidP="00766E12">
            <w:pPr>
              <w:tabs>
                <w:tab w:val="left" w:pos="2880"/>
                <w:tab w:val="left" w:pos="3240"/>
              </w:tabs>
              <w:rPr>
                <w:rFonts w:ascii="Times New Roman" w:hAnsi="Times New Roman"/>
                <w:sz w:val="24"/>
              </w:rPr>
            </w:pPr>
            <w:r w:rsidRPr="00766E12">
              <w:rPr>
                <w:rFonts w:ascii="Times New Roman" w:hAnsi="Times New Roman"/>
                <w:sz w:val="24"/>
              </w:rPr>
              <w:t>Стоимость работ</w:t>
            </w:r>
            <w:r>
              <w:rPr>
                <w:rFonts w:ascii="Times New Roman" w:hAnsi="Times New Roman"/>
                <w:sz w:val="24"/>
              </w:rPr>
              <w:t xml:space="preserve"> </w:t>
            </w:r>
            <w:r w:rsidRPr="00136720">
              <w:rPr>
                <w:rFonts w:ascii="Times New Roman" w:hAnsi="Times New Roman"/>
                <w:sz w:val="24"/>
              </w:rPr>
              <w:t>ремонту кондиционеров</w:t>
            </w:r>
            <w:r w:rsidRPr="00C21306">
              <w:rPr>
                <w:rFonts w:ascii="Times New Roman" w:hAnsi="Times New Roman"/>
                <w:sz w:val="24"/>
              </w:rPr>
              <w:t xml:space="preserve"> рублей без НДС</w:t>
            </w:r>
          </w:p>
        </w:tc>
        <w:tc>
          <w:tcPr>
            <w:tcW w:w="3093" w:type="dxa"/>
          </w:tcPr>
          <w:p w:rsidR="0074540B" w:rsidRPr="00F30C65" w:rsidRDefault="00136720" w:rsidP="00136720">
            <w:pPr>
              <w:ind w:left="93"/>
              <w:jc w:val="both"/>
              <w:rPr>
                <w:rFonts w:ascii="Times New Roman" w:hAnsi="Times New Roman"/>
                <w:sz w:val="24"/>
              </w:rPr>
            </w:pPr>
            <w:r>
              <w:rPr>
                <w:rFonts w:ascii="Times New Roman" w:hAnsi="Times New Roman"/>
                <w:sz w:val="24"/>
              </w:rPr>
              <w:t xml:space="preserve">В соответствии с показателями </w:t>
            </w:r>
            <w:r w:rsidRPr="00136720">
              <w:rPr>
                <w:rFonts w:ascii="Times New Roman" w:hAnsi="Times New Roman"/>
                <w:sz w:val="24"/>
              </w:rPr>
              <w:t>Регламента определения стоимости работ</w:t>
            </w:r>
            <w:r>
              <w:rPr>
                <w:rFonts w:ascii="Times New Roman" w:hAnsi="Times New Roman"/>
                <w:sz w:val="24"/>
              </w:rPr>
              <w:t xml:space="preserve"> (Приложение №7 к Договору)</w:t>
            </w:r>
          </w:p>
        </w:tc>
      </w:tr>
      <w:tr w:rsidR="00F30C65" w:rsidRPr="00F30C65" w:rsidTr="00DA41EF">
        <w:trPr>
          <w:trHeight w:val="269"/>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198"/>
        </w:trPr>
        <w:tc>
          <w:tcPr>
            <w:tcW w:w="6369" w:type="dxa"/>
          </w:tcPr>
          <w:p w:rsidR="00F30C65" w:rsidRPr="00F30C65" w:rsidRDefault="00F30C65" w:rsidP="00DA41EF">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239"/>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F30C65" w:rsidRPr="00F30C65" w:rsidRDefault="00F30C65" w:rsidP="00DA41EF">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lastRenderedPageBreak/>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761C86" w:rsidRDefault="00761C86" w:rsidP="00761C86">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tbl>
      <w:tblPr>
        <w:tblW w:w="15183" w:type="dxa"/>
        <w:tblInd w:w="93" w:type="dxa"/>
        <w:tblLook w:val="04A0" w:firstRow="1" w:lastRow="0" w:firstColumn="1" w:lastColumn="0" w:noHBand="0" w:noVBand="1"/>
      </w:tblPr>
      <w:tblGrid>
        <w:gridCol w:w="520"/>
        <w:gridCol w:w="5600"/>
        <w:gridCol w:w="1840"/>
        <w:gridCol w:w="1700"/>
        <w:gridCol w:w="1760"/>
        <w:gridCol w:w="3763"/>
      </w:tblGrid>
      <w:tr w:rsidR="00DC375A" w:rsidRPr="008212CE" w:rsidTr="00DC375A">
        <w:trPr>
          <w:trHeight w:val="735"/>
        </w:trPr>
        <w:tc>
          <w:tcPr>
            <w:tcW w:w="15183" w:type="dxa"/>
            <w:gridSpan w:val="6"/>
            <w:tcBorders>
              <w:top w:val="nil"/>
              <w:left w:val="nil"/>
              <w:bottom w:val="nil"/>
              <w:right w:val="nil"/>
            </w:tcBorders>
            <w:shd w:val="clear" w:color="auto" w:fill="auto"/>
            <w:vAlign w:val="center"/>
            <w:hideMark/>
          </w:tcPr>
          <w:p w:rsidR="00DC375A" w:rsidRDefault="00DC375A" w:rsidP="00DC375A">
            <w:pPr>
              <w:spacing w:before="0"/>
              <w:jc w:val="right"/>
              <w:rPr>
                <w:b/>
                <w:bCs/>
                <w:color w:val="000000"/>
              </w:rPr>
            </w:pPr>
            <w:r>
              <w:rPr>
                <w:b/>
                <w:bCs/>
                <w:color w:val="000000"/>
                <w:szCs w:val="22"/>
              </w:rPr>
              <w:lastRenderedPageBreak/>
              <w:t>Форма 12</w:t>
            </w:r>
          </w:p>
          <w:p w:rsidR="00DC375A" w:rsidRPr="008212CE" w:rsidRDefault="00DC375A" w:rsidP="00DC375A">
            <w:pPr>
              <w:spacing w:before="0"/>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DC375A" w:rsidRPr="008212CE" w:rsidTr="00DC375A">
        <w:trPr>
          <w:trHeight w:val="525"/>
        </w:trPr>
        <w:tc>
          <w:tcPr>
            <w:tcW w:w="520" w:type="dxa"/>
            <w:tcBorders>
              <w:top w:val="nil"/>
              <w:left w:val="nil"/>
              <w:bottom w:val="nil"/>
              <w:right w:val="nil"/>
            </w:tcBorders>
            <w:shd w:val="clear" w:color="auto" w:fill="auto"/>
            <w:vAlign w:val="center"/>
            <w:hideMark/>
          </w:tcPr>
          <w:p w:rsidR="00DC375A" w:rsidRPr="008212CE" w:rsidRDefault="00DC375A" w:rsidP="00DC375A">
            <w:pPr>
              <w:spacing w:before="0"/>
              <w:rPr>
                <w:b/>
                <w:bCs/>
                <w:color w:val="000000"/>
              </w:rPr>
            </w:pPr>
          </w:p>
        </w:tc>
        <w:tc>
          <w:tcPr>
            <w:tcW w:w="14663" w:type="dxa"/>
            <w:gridSpan w:val="5"/>
            <w:tcBorders>
              <w:top w:val="nil"/>
              <w:left w:val="nil"/>
              <w:bottom w:val="single" w:sz="8" w:space="0" w:color="auto"/>
              <w:right w:val="nil"/>
            </w:tcBorders>
            <w:shd w:val="clear" w:color="auto" w:fill="auto"/>
            <w:vAlign w:val="center"/>
            <w:hideMark/>
          </w:tcPr>
          <w:p w:rsidR="00DC375A" w:rsidRPr="008212CE" w:rsidRDefault="00DC375A" w:rsidP="00DC375A">
            <w:pPr>
              <w:spacing w:before="0"/>
              <w:rPr>
                <w:b/>
                <w:bCs/>
                <w:sz w:val="18"/>
                <w:szCs w:val="18"/>
              </w:rPr>
            </w:pPr>
            <w:r>
              <w:rPr>
                <w:b/>
                <w:bCs/>
                <w:sz w:val="18"/>
                <w:szCs w:val="18"/>
              </w:rPr>
              <w:t xml:space="preserve">Работы  по </w:t>
            </w:r>
            <w:r w:rsidRPr="00C85F91">
              <w:rPr>
                <w:b/>
                <w:sz w:val="18"/>
                <w:szCs w:val="18"/>
              </w:rPr>
              <w:t>ремонту кондиционеров ОАО «Славнефть-ЯНОС».</w:t>
            </w:r>
          </w:p>
        </w:tc>
      </w:tr>
      <w:tr w:rsidR="00DC375A" w:rsidRPr="008212CE" w:rsidTr="00DC375A">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DC375A" w:rsidRPr="008212CE" w:rsidRDefault="00DC375A" w:rsidP="00DC375A">
            <w:pPr>
              <w:spacing w:before="0"/>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DC375A" w:rsidRPr="008212CE" w:rsidRDefault="00DC375A" w:rsidP="00DC375A">
            <w:pPr>
              <w:spacing w:before="0"/>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DC375A" w:rsidRPr="008212CE" w:rsidRDefault="00DC375A" w:rsidP="00DC375A">
            <w:pPr>
              <w:spacing w:before="0"/>
              <w:rPr>
                <w:color w:val="000000"/>
              </w:rPr>
            </w:pPr>
            <w:r w:rsidRPr="008212CE">
              <w:rPr>
                <w:color w:val="000000"/>
                <w:szCs w:val="22"/>
              </w:rPr>
              <w:t>Плановые затраты</w:t>
            </w:r>
          </w:p>
        </w:tc>
        <w:tc>
          <w:tcPr>
            <w:tcW w:w="5523" w:type="dxa"/>
            <w:gridSpan w:val="2"/>
            <w:tcBorders>
              <w:top w:val="single" w:sz="8" w:space="0" w:color="auto"/>
              <w:left w:val="nil"/>
              <w:bottom w:val="single" w:sz="4" w:space="0" w:color="auto"/>
              <w:right w:val="single" w:sz="8" w:space="0" w:color="000000"/>
            </w:tcBorders>
            <w:shd w:val="clear" w:color="000000" w:fill="FFFF00"/>
            <w:vAlign w:val="center"/>
            <w:hideMark/>
          </w:tcPr>
          <w:p w:rsidR="00DC375A" w:rsidRPr="008212CE" w:rsidRDefault="00DC375A" w:rsidP="00DC375A">
            <w:pPr>
              <w:spacing w:before="0"/>
            </w:pPr>
            <w:r w:rsidRPr="008212CE">
              <w:rPr>
                <w:szCs w:val="22"/>
              </w:rPr>
              <w:t>Предложение претендента (оферта)</w:t>
            </w:r>
          </w:p>
        </w:tc>
      </w:tr>
      <w:tr w:rsidR="00DC375A" w:rsidRPr="008212CE" w:rsidTr="00DC375A">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DC375A" w:rsidRPr="008212CE" w:rsidRDefault="00DC375A" w:rsidP="00DC375A">
            <w:pPr>
              <w:spacing w:before="0"/>
              <w:rPr>
                <w:color w:val="000000"/>
              </w:rPr>
            </w:pPr>
          </w:p>
        </w:tc>
        <w:tc>
          <w:tcPr>
            <w:tcW w:w="5600" w:type="dxa"/>
            <w:vMerge/>
            <w:tcBorders>
              <w:top w:val="nil"/>
              <w:left w:val="single" w:sz="4" w:space="0" w:color="auto"/>
              <w:bottom w:val="single" w:sz="8" w:space="0" w:color="000000"/>
              <w:right w:val="nil"/>
            </w:tcBorders>
            <w:vAlign w:val="center"/>
            <w:hideMark/>
          </w:tcPr>
          <w:p w:rsidR="00DC375A" w:rsidRPr="008212CE" w:rsidRDefault="00DC375A" w:rsidP="00DC375A">
            <w:pPr>
              <w:spacing w:before="0"/>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DC375A" w:rsidRPr="008212CE" w:rsidRDefault="00DC375A" w:rsidP="00DC375A">
            <w:pPr>
              <w:spacing w:before="0"/>
              <w:rPr>
                <w:color w:val="000000"/>
              </w:rPr>
            </w:pPr>
            <w:r w:rsidRPr="008212CE">
              <w:rPr>
                <w:color w:val="000000"/>
                <w:szCs w:val="22"/>
              </w:rPr>
              <w:t>сумма,</w:t>
            </w:r>
            <w:r>
              <w:rPr>
                <w:color w:val="000000"/>
                <w:szCs w:val="22"/>
              </w:rPr>
              <w:t xml:space="preserve"> тыс.</w:t>
            </w:r>
            <w:r w:rsidRPr="008212CE">
              <w:rPr>
                <w:color w:val="000000"/>
                <w:szCs w:val="22"/>
              </w:rPr>
              <w:t xml:space="preserve"> руб</w:t>
            </w:r>
          </w:p>
        </w:tc>
        <w:tc>
          <w:tcPr>
            <w:tcW w:w="1700" w:type="dxa"/>
            <w:tcBorders>
              <w:top w:val="nil"/>
              <w:left w:val="nil"/>
              <w:bottom w:val="single" w:sz="8" w:space="0" w:color="auto"/>
              <w:right w:val="single" w:sz="8" w:space="0" w:color="auto"/>
            </w:tcBorders>
            <w:shd w:val="clear" w:color="000000" w:fill="FFFF00"/>
            <w:vAlign w:val="center"/>
            <w:hideMark/>
          </w:tcPr>
          <w:p w:rsidR="00DC375A" w:rsidRPr="008212CE" w:rsidRDefault="00DC375A" w:rsidP="00DC375A">
            <w:pPr>
              <w:spacing w:before="0"/>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DC375A" w:rsidRPr="008212CE" w:rsidRDefault="00DC375A" w:rsidP="00DC375A">
            <w:pPr>
              <w:spacing w:before="0"/>
            </w:pPr>
            <w:r w:rsidRPr="008212CE">
              <w:rPr>
                <w:szCs w:val="22"/>
              </w:rPr>
              <w:t>размер затрат (по Регламенту на</w:t>
            </w:r>
            <w:r>
              <w:rPr>
                <w:szCs w:val="22"/>
              </w:rPr>
              <w:t xml:space="preserve"> рем.</w:t>
            </w:r>
            <w:r w:rsidRPr="008212CE">
              <w:rPr>
                <w:szCs w:val="22"/>
              </w:rPr>
              <w:t>.работы)</w:t>
            </w:r>
          </w:p>
        </w:tc>
        <w:tc>
          <w:tcPr>
            <w:tcW w:w="3763" w:type="dxa"/>
            <w:tcBorders>
              <w:top w:val="nil"/>
              <w:left w:val="nil"/>
              <w:bottom w:val="single" w:sz="8" w:space="0" w:color="auto"/>
              <w:right w:val="single" w:sz="8" w:space="0" w:color="auto"/>
            </w:tcBorders>
            <w:shd w:val="clear" w:color="000000" w:fill="FFFF00"/>
            <w:vAlign w:val="center"/>
            <w:hideMark/>
          </w:tcPr>
          <w:p w:rsidR="00DC375A" w:rsidRPr="008212CE" w:rsidRDefault="00DC375A" w:rsidP="00DC375A">
            <w:pPr>
              <w:spacing w:before="0"/>
            </w:pPr>
            <w:r w:rsidRPr="008212CE">
              <w:rPr>
                <w:szCs w:val="22"/>
              </w:rPr>
              <w:t>сумма, руб.</w:t>
            </w:r>
          </w:p>
        </w:tc>
      </w:tr>
      <w:tr w:rsidR="00DC375A" w:rsidRPr="008212CE" w:rsidTr="00DC375A">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DC375A" w:rsidRPr="008212CE" w:rsidRDefault="00DC375A" w:rsidP="00DC375A">
            <w:pPr>
              <w:spacing w:before="0"/>
            </w:pPr>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DC375A" w:rsidRPr="008212CE" w:rsidRDefault="00DC375A" w:rsidP="00DC375A">
            <w:pPr>
              <w:spacing w:before="0"/>
            </w:pPr>
            <w:r w:rsidRPr="008212CE">
              <w:rPr>
                <w:szCs w:val="22"/>
              </w:rPr>
              <w:t xml:space="preserve">Ориентировочная стоимость </w:t>
            </w:r>
            <w:r>
              <w:rPr>
                <w:szCs w:val="22"/>
              </w:rPr>
              <w:t>ремонтных работ систем кондиционирования работ по оценке Заказчика</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DC375A" w:rsidRPr="008212CE" w:rsidRDefault="00DC375A" w:rsidP="00DC375A">
            <w:pPr>
              <w:spacing w:before="0"/>
            </w:pPr>
            <w:r>
              <w:rPr>
                <w:szCs w:val="22"/>
              </w:rPr>
              <w:t>12 000</w:t>
            </w:r>
          </w:p>
        </w:tc>
        <w:tc>
          <w:tcPr>
            <w:tcW w:w="1700" w:type="dxa"/>
            <w:tcBorders>
              <w:top w:val="nil"/>
              <w:left w:val="nil"/>
              <w:bottom w:val="single" w:sz="8" w:space="0" w:color="auto"/>
              <w:right w:val="single" w:sz="8" w:space="0" w:color="auto"/>
            </w:tcBorders>
            <w:shd w:val="clear" w:color="000000" w:fill="EAF1DD"/>
            <w:vAlign w:val="center"/>
            <w:hideMark/>
          </w:tcPr>
          <w:p w:rsidR="00DC375A" w:rsidRPr="008212CE" w:rsidRDefault="00DC375A" w:rsidP="00DC375A">
            <w:pPr>
              <w:spacing w:before="0"/>
            </w:pPr>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DC375A" w:rsidRPr="008212CE" w:rsidRDefault="00DC375A" w:rsidP="00DC375A">
            <w:pPr>
              <w:spacing w:before="0"/>
            </w:pPr>
            <w:r w:rsidRPr="008212CE">
              <w:rPr>
                <w:szCs w:val="22"/>
              </w:rPr>
              <w:t xml:space="preserve"> - </w:t>
            </w:r>
          </w:p>
        </w:tc>
        <w:tc>
          <w:tcPr>
            <w:tcW w:w="3763" w:type="dxa"/>
            <w:tcBorders>
              <w:top w:val="nil"/>
              <w:left w:val="nil"/>
              <w:bottom w:val="single" w:sz="8" w:space="0" w:color="auto"/>
              <w:right w:val="single" w:sz="8" w:space="0" w:color="auto"/>
            </w:tcBorders>
            <w:shd w:val="clear" w:color="000000" w:fill="EAF1DD"/>
            <w:vAlign w:val="center"/>
            <w:hideMark/>
          </w:tcPr>
          <w:p w:rsidR="00DC375A" w:rsidRPr="008212CE" w:rsidRDefault="00DC375A" w:rsidP="00DC375A">
            <w:pPr>
              <w:spacing w:before="0"/>
            </w:pPr>
            <w:r w:rsidRPr="008212CE">
              <w:rPr>
                <w:szCs w:val="22"/>
              </w:rPr>
              <w:t xml:space="preserve"> - </w:t>
            </w:r>
          </w:p>
        </w:tc>
      </w:tr>
      <w:tr w:rsidR="00DC375A" w:rsidRPr="008212CE" w:rsidTr="00DC375A">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DC375A" w:rsidRPr="008212CE" w:rsidRDefault="00DC375A" w:rsidP="00DC375A">
            <w:pPr>
              <w:spacing w:before="0"/>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DC375A" w:rsidRPr="008212CE" w:rsidRDefault="00DC375A" w:rsidP="00DC375A">
            <w:pPr>
              <w:spacing w:before="0"/>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DC375A" w:rsidRPr="008212CE" w:rsidRDefault="00DC375A" w:rsidP="00DC375A">
            <w:pPr>
              <w:spacing w:before="0"/>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DC375A" w:rsidRPr="008212CE" w:rsidRDefault="00DC375A" w:rsidP="00DC375A">
            <w:pPr>
              <w:spacing w:before="0"/>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DC375A" w:rsidRPr="008212CE" w:rsidRDefault="00DC375A" w:rsidP="00DC375A">
            <w:pPr>
              <w:spacing w:before="0"/>
            </w:pPr>
            <w:r w:rsidRPr="008212CE">
              <w:rPr>
                <w:szCs w:val="22"/>
              </w:rPr>
              <w:t> </w:t>
            </w:r>
          </w:p>
        </w:tc>
        <w:tc>
          <w:tcPr>
            <w:tcW w:w="3763" w:type="dxa"/>
            <w:tcBorders>
              <w:top w:val="nil"/>
              <w:left w:val="nil"/>
              <w:bottom w:val="single" w:sz="8" w:space="0" w:color="auto"/>
              <w:right w:val="single" w:sz="8" w:space="0" w:color="auto"/>
            </w:tcBorders>
            <w:shd w:val="clear" w:color="000000" w:fill="FFC000"/>
            <w:vAlign w:val="center"/>
            <w:hideMark/>
          </w:tcPr>
          <w:p w:rsidR="00DC375A" w:rsidRPr="008212CE" w:rsidRDefault="00DC375A" w:rsidP="00DC375A">
            <w:pPr>
              <w:spacing w:before="0"/>
            </w:pPr>
            <w:r w:rsidRPr="008212CE">
              <w:rPr>
                <w:szCs w:val="22"/>
              </w:rPr>
              <w:t> </w:t>
            </w:r>
          </w:p>
        </w:tc>
      </w:tr>
      <w:tr w:rsidR="00DC375A" w:rsidRPr="008212CE" w:rsidTr="00DC375A">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tcPr>
          <w:p w:rsidR="00DC375A" w:rsidRPr="008A0E09" w:rsidRDefault="00DC375A" w:rsidP="00DC375A">
            <w:pPr>
              <w:spacing w:before="0"/>
              <w:rPr>
                <w:color w:val="FF0000"/>
                <w:highlight w:val="yellow"/>
              </w:rPr>
            </w:pP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11,3%</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ЗП, руб/мес</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DC375A" w:rsidRPr="008212CE" w:rsidTr="00DC375A">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tcPr>
          <w:p w:rsidR="00DC375A" w:rsidRPr="008A0E09" w:rsidRDefault="00DC375A" w:rsidP="00DC375A">
            <w:pPr>
              <w:spacing w:before="0"/>
              <w:rPr>
                <w:color w:val="FF0000"/>
                <w:highlight w:val="yellow"/>
              </w:rPr>
            </w:pP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Кст</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ЗП * (Кст - 1)</w:t>
            </w:r>
          </w:p>
        </w:tc>
      </w:tr>
      <w:tr w:rsidR="00DC375A" w:rsidRPr="008212CE" w:rsidTr="00DC375A">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tcPr>
          <w:p w:rsidR="00DC375A" w:rsidRPr="008A0E09" w:rsidRDefault="00DC375A" w:rsidP="00DC375A">
            <w:pPr>
              <w:spacing w:before="0"/>
              <w:rPr>
                <w:color w:val="FF0000"/>
                <w:highlight w:val="yellow"/>
              </w:rPr>
            </w:pP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7,7%</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НР</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 пп.2-3 * НР</w:t>
            </w:r>
          </w:p>
        </w:tc>
      </w:tr>
      <w:tr w:rsidR="00DC375A" w:rsidRPr="008212CE" w:rsidTr="00DC375A">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tcPr>
          <w:p w:rsidR="00DC375A" w:rsidRPr="008A0E09" w:rsidRDefault="00DC375A" w:rsidP="00DC375A">
            <w:pPr>
              <w:spacing w:before="0"/>
              <w:rPr>
                <w:color w:val="FF0000"/>
                <w:highlight w:val="yellow"/>
              </w:rPr>
            </w:pP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СП</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 пп.2-3 * СП</w:t>
            </w:r>
          </w:p>
        </w:tc>
      </w:tr>
      <w:tr w:rsidR="00DC375A" w:rsidRPr="008212CE" w:rsidTr="00DC375A">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tcPr>
          <w:p w:rsidR="00DC375A" w:rsidRPr="008A0E09" w:rsidRDefault="00DC375A" w:rsidP="00DC375A">
            <w:pPr>
              <w:spacing w:before="0"/>
              <w:rPr>
                <w:color w:val="FF0000"/>
                <w:highlight w:val="yellow"/>
              </w:rPr>
            </w:pP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60%</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 xml:space="preserve"> - </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МАТ-П</w:t>
            </w:r>
          </w:p>
        </w:tc>
      </w:tr>
      <w:tr w:rsidR="00DC375A" w:rsidRPr="008212CE" w:rsidTr="00DC375A">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tcPr>
          <w:p w:rsidR="00DC375A" w:rsidRPr="008A0E09" w:rsidRDefault="00DC375A" w:rsidP="00DC375A">
            <w:pPr>
              <w:spacing w:before="0"/>
              <w:rPr>
                <w:color w:val="FF0000"/>
                <w:highlight w:val="yellow"/>
              </w:rPr>
            </w:pP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7%</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Ктр.п</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pPr>
            <w:r w:rsidRPr="008212CE">
              <w:rPr>
                <w:szCs w:val="22"/>
              </w:rPr>
              <w:t>МАТ-П * Ктр.п</w:t>
            </w:r>
          </w:p>
        </w:tc>
      </w:tr>
      <w:tr w:rsidR="00DC375A" w:rsidRPr="008212CE" w:rsidTr="00DC375A">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Pr>
                <w:color w:val="000000"/>
                <w:szCs w:val="22"/>
              </w:rPr>
              <w:t>8</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tcPr>
          <w:p w:rsidR="00DC375A" w:rsidRPr="008A0E09" w:rsidRDefault="00DC375A" w:rsidP="00DC375A">
            <w:pPr>
              <w:spacing w:before="0"/>
              <w:rPr>
                <w:color w:val="FF0000"/>
                <w:highlight w:val="yellow"/>
              </w:rPr>
            </w:pP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 xml:space="preserve"> - </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pPr>
            <w:r w:rsidRPr="008212CE">
              <w:rPr>
                <w:szCs w:val="22"/>
              </w:rPr>
              <w:t>МАТ-Зак в расчете не учитываются</w:t>
            </w:r>
          </w:p>
        </w:tc>
      </w:tr>
      <w:tr w:rsidR="00DC375A" w:rsidRPr="008212CE" w:rsidTr="00DC375A">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Pr>
                <w:color w:val="000000"/>
                <w:szCs w:val="22"/>
              </w:rPr>
              <w:t>9</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tcPr>
          <w:p w:rsidR="00DC375A" w:rsidRPr="008A0E09" w:rsidRDefault="00DC375A" w:rsidP="00DC375A">
            <w:pPr>
              <w:spacing w:before="0"/>
              <w:rPr>
                <w:color w:val="FF0000"/>
                <w:highlight w:val="yellow"/>
              </w:rPr>
            </w:pP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Ктр.з</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pPr>
            <w:r w:rsidRPr="008212CE">
              <w:rPr>
                <w:szCs w:val="22"/>
              </w:rPr>
              <w:t>МАТ-Зак * Ктр.з</w:t>
            </w:r>
          </w:p>
        </w:tc>
      </w:tr>
      <w:tr w:rsidR="00DC375A" w:rsidRPr="008212CE" w:rsidTr="00DC375A">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000000"/>
              </w:rPr>
            </w:pPr>
            <w:r>
              <w:rPr>
                <w:color w:val="000000"/>
                <w:szCs w:val="22"/>
              </w:rPr>
              <w:t>10</w:t>
            </w:r>
          </w:p>
        </w:tc>
        <w:tc>
          <w:tcPr>
            <w:tcW w:w="5600" w:type="dxa"/>
            <w:tcBorders>
              <w:top w:val="nil"/>
              <w:left w:val="nil"/>
              <w:bottom w:val="single" w:sz="4" w:space="0" w:color="auto"/>
              <w:right w:val="nil"/>
            </w:tcBorders>
            <w:shd w:val="clear" w:color="auto" w:fill="auto"/>
            <w:vAlign w:val="center"/>
            <w:hideMark/>
          </w:tcPr>
          <w:p w:rsidR="00DC375A" w:rsidRPr="008212CE" w:rsidRDefault="00DC375A" w:rsidP="00DC375A">
            <w:pPr>
              <w:spacing w:before="0"/>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DC375A" w:rsidRPr="008212CE" w:rsidRDefault="00DC375A" w:rsidP="00DC375A">
            <w:pPr>
              <w:spacing w:before="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DC375A" w:rsidRPr="005A3E2C" w:rsidRDefault="00DC375A" w:rsidP="00DC375A">
            <w:pPr>
              <w:spacing w:before="0"/>
              <w:rPr>
                <w:i/>
                <w:iCs/>
              </w:rPr>
            </w:pPr>
            <w:r w:rsidRPr="005A3E2C">
              <w:rPr>
                <w:i/>
                <w:iCs/>
                <w:szCs w:val="22"/>
              </w:rPr>
              <w:t>7%</w:t>
            </w:r>
          </w:p>
        </w:tc>
        <w:tc>
          <w:tcPr>
            <w:tcW w:w="1760" w:type="dxa"/>
            <w:tcBorders>
              <w:top w:val="nil"/>
              <w:left w:val="nil"/>
              <w:bottom w:val="single" w:sz="4" w:space="0" w:color="auto"/>
              <w:right w:val="single" w:sz="4" w:space="0" w:color="auto"/>
            </w:tcBorders>
            <w:shd w:val="clear" w:color="auto" w:fill="auto"/>
            <w:vAlign w:val="center"/>
            <w:hideMark/>
          </w:tcPr>
          <w:p w:rsidR="00DC375A" w:rsidRPr="008212CE" w:rsidRDefault="00DC375A" w:rsidP="00DC375A">
            <w:pPr>
              <w:spacing w:before="0"/>
            </w:pPr>
            <w:r w:rsidRPr="008212CE">
              <w:rPr>
                <w:szCs w:val="22"/>
              </w:rPr>
              <w:t xml:space="preserve"> - </w:t>
            </w:r>
          </w:p>
        </w:tc>
        <w:tc>
          <w:tcPr>
            <w:tcW w:w="3763" w:type="dxa"/>
            <w:tcBorders>
              <w:top w:val="nil"/>
              <w:left w:val="nil"/>
              <w:bottom w:val="single" w:sz="4" w:space="0" w:color="auto"/>
              <w:right w:val="single" w:sz="8" w:space="0" w:color="auto"/>
            </w:tcBorders>
            <w:shd w:val="clear" w:color="auto" w:fill="auto"/>
            <w:vAlign w:val="center"/>
            <w:hideMark/>
          </w:tcPr>
          <w:p w:rsidR="00DC375A" w:rsidRPr="008212CE" w:rsidRDefault="00DC375A" w:rsidP="00DC375A">
            <w:pPr>
              <w:spacing w:before="0"/>
              <w:rPr>
                <w:color w:val="000000"/>
              </w:rPr>
            </w:pPr>
            <w:r w:rsidRPr="008212CE">
              <w:rPr>
                <w:color w:val="000000"/>
                <w:szCs w:val="22"/>
              </w:rPr>
              <w:t>ЭММ</w:t>
            </w:r>
          </w:p>
        </w:tc>
      </w:tr>
      <w:tr w:rsidR="00DC375A" w:rsidRPr="008212CE" w:rsidTr="00DC375A">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DC375A" w:rsidRPr="008212CE" w:rsidRDefault="00DC375A" w:rsidP="00DC375A">
            <w:pPr>
              <w:spacing w:before="0"/>
              <w:rPr>
                <w:color w:val="000000"/>
              </w:rPr>
            </w:pPr>
            <w:r>
              <w:rPr>
                <w:color w:val="000000"/>
                <w:szCs w:val="22"/>
              </w:rPr>
              <w:t>11</w:t>
            </w:r>
          </w:p>
        </w:tc>
        <w:tc>
          <w:tcPr>
            <w:tcW w:w="5600" w:type="dxa"/>
            <w:tcBorders>
              <w:top w:val="single" w:sz="8" w:space="0" w:color="auto"/>
              <w:left w:val="nil"/>
              <w:bottom w:val="single" w:sz="8" w:space="0" w:color="auto"/>
              <w:right w:val="nil"/>
            </w:tcBorders>
            <w:shd w:val="clear" w:color="000000" w:fill="EAF1DD"/>
            <w:vAlign w:val="center"/>
            <w:hideMark/>
          </w:tcPr>
          <w:p w:rsidR="00DC375A" w:rsidRPr="008212CE" w:rsidRDefault="00DC375A" w:rsidP="00DC375A">
            <w:pPr>
              <w:spacing w:before="0"/>
              <w:rPr>
                <w:color w:val="000000"/>
              </w:rPr>
            </w:pPr>
            <w:r w:rsidRPr="008212CE">
              <w:rPr>
                <w:color w:val="000000"/>
                <w:szCs w:val="22"/>
              </w:rPr>
              <w:t xml:space="preserve">Итого стоимость </w:t>
            </w:r>
            <w:r>
              <w:rPr>
                <w:color w:val="000000"/>
                <w:szCs w:val="22"/>
              </w:rPr>
              <w:t>ремонтных</w:t>
            </w:r>
            <w:r w:rsidRPr="008212CE">
              <w:rPr>
                <w:color w:val="000000"/>
                <w:szCs w:val="22"/>
              </w:rPr>
              <w:t xml:space="preserve">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DC375A" w:rsidRPr="008212CE" w:rsidRDefault="00DC375A" w:rsidP="00DC375A">
            <w:pPr>
              <w:spacing w:before="0"/>
              <w:rPr>
                <w:color w:val="000000"/>
              </w:rPr>
            </w:pPr>
            <w:r>
              <w:rPr>
                <w:color w:val="000000"/>
                <w:szCs w:val="22"/>
              </w:rPr>
              <w:t>Р</w:t>
            </w:r>
            <w:r w:rsidRPr="008212CE">
              <w:rPr>
                <w:color w:val="000000"/>
                <w:szCs w:val="22"/>
              </w:rPr>
              <w:t>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DC375A" w:rsidRPr="005A3E2C" w:rsidRDefault="00DC375A" w:rsidP="00DC375A">
            <w:pPr>
              <w:spacing w:before="0"/>
              <w:rPr>
                <w:color w:val="000000"/>
              </w:rPr>
            </w:pPr>
            <w:r w:rsidRPr="005A3E2C">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DC375A" w:rsidRPr="008212CE" w:rsidRDefault="00DC375A" w:rsidP="00DC375A">
            <w:pPr>
              <w:spacing w:before="0"/>
            </w:pPr>
            <w:r w:rsidRPr="008212CE">
              <w:rPr>
                <w:szCs w:val="22"/>
              </w:rPr>
              <w:t> </w:t>
            </w:r>
          </w:p>
        </w:tc>
        <w:tc>
          <w:tcPr>
            <w:tcW w:w="3763" w:type="dxa"/>
            <w:tcBorders>
              <w:top w:val="single" w:sz="8" w:space="0" w:color="auto"/>
              <w:left w:val="nil"/>
              <w:bottom w:val="single" w:sz="8" w:space="0" w:color="auto"/>
              <w:right w:val="single" w:sz="8" w:space="0" w:color="auto"/>
            </w:tcBorders>
            <w:shd w:val="clear" w:color="000000" w:fill="EAF1DD"/>
            <w:vAlign w:val="center"/>
            <w:hideMark/>
          </w:tcPr>
          <w:p w:rsidR="00DC375A" w:rsidRPr="008212CE" w:rsidRDefault="00DC375A" w:rsidP="00DC375A">
            <w:pPr>
              <w:spacing w:before="0"/>
            </w:pPr>
            <w:r w:rsidRPr="008212CE">
              <w:rPr>
                <w:szCs w:val="22"/>
              </w:rPr>
              <w:t>∑ пп. 2-1</w:t>
            </w:r>
            <w:r>
              <w:rPr>
                <w:szCs w:val="22"/>
              </w:rPr>
              <w:t>1</w:t>
            </w:r>
          </w:p>
        </w:tc>
      </w:tr>
      <w:tr w:rsidR="00DC375A" w:rsidRPr="008212CE" w:rsidTr="00DC375A">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DC375A" w:rsidRPr="008212CE" w:rsidRDefault="00DC375A" w:rsidP="00DC375A">
            <w:pPr>
              <w:spacing w:before="0"/>
              <w:rPr>
                <w:color w:val="000000"/>
              </w:rPr>
            </w:pPr>
            <w:r>
              <w:rPr>
                <w:color w:val="000000"/>
                <w:szCs w:val="22"/>
              </w:rPr>
              <w:t>12</w:t>
            </w:r>
          </w:p>
        </w:tc>
        <w:tc>
          <w:tcPr>
            <w:tcW w:w="5600" w:type="dxa"/>
            <w:tcBorders>
              <w:top w:val="nil"/>
              <w:left w:val="nil"/>
              <w:bottom w:val="single" w:sz="8" w:space="0" w:color="auto"/>
              <w:right w:val="nil"/>
            </w:tcBorders>
            <w:shd w:val="clear" w:color="000000" w:fill="DBE5F1"/>
            <w:vAlign w:val="center"/>
            <w:hideMark/>
          </w:tcPr>
          <w:p w:rsidR="00DC375A" w:rsidRPr="008212CE" w:rsidRDefault="00DC375A" w:rsidP="00DC375A">
            <w:pPr>
              <w:spacing w:before="0"/>
              <w:rPr>
                <w:color w:val="000000"/>
              </w:rPr>
            </w:pPr>
            <w:r w:rsidRPr="008212CE">
              <w:rPr>
                <w:color w:val="000000"/>
                <w:szCs w:val="22"/>
              </w:rPr>
              <w:t xml:space="preserve">Разница по стоимости </w:t>
            </w:r>
            <w:r>
              <w:rPr>
                <w:color w:val="000000"/>
                <w:szCs w:val="22"/>
              </w:rPr>
              <w:t>ремонтных</w:t>
            </w:r>
            <w:r w:rsidRPr="008212CE">
              <w:rPr>
                <w:color w:val="000000"/>
                <w:szCs w:val="22"/>
              </w:rPr>
              <w:t xml:space="preserve">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DC375A" w:rsidRPr="008212CE" w:rsidRDefault="00DC375A" w:rsidP="00DC375A">
            <w:pPr>
              <w:spacing w:before="0"/>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DC375A" w:rsidRPr="008212CE" w:rsidRDefault="00DC375A" w:rsidP="00DC375A">
            <w:pPr>
              <w:spacing w:before="0"/>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DC375A" w:rsidRPr="008212CE" w:rsidRDefault="00DC375A" w:rsidP="00DC375A">
            <w:pPr>
              <w:spacing w:before="0"/>
            </w:pPr>
            <w:r w:rsidRPr="008212CE">
              <w:rPr>
                <w:szCs w:val="22"/>
              </w:rPr>
              <w:t> </w:t>
            </w:r>
          </w:p>
        </w:tc>
        <w:tc>
          <w:tcPr>
            <w:tcW w:w="3763" w:type="dxa"/>
            <w:tcBorders>
              <w:top w:val="nil"/>
              <w:left w:val="nil"/>
              <w:bottom w:val="single" w:sz="8" w:space="0" w:color="auto"/>
              <w:right w:val="single" w:sz="8" w:space="0" w:color="auto"/>
            </w:tcBorders>
            <w:shd w:val="clear" w:color="000000" w:fill="DBE5F1"/>
            <w:vAlign w:val="center"/>
            <w:hideMark/>
          </w:tcPr>
          <w:p w:rsidR="00DC375A" w:rsidRPr="008212CE" w:rsidRDefault="00DC375A" w:rsidP="00DC375A">
            <w:pPr>
              <w:spacing w:before="0"/>
              <w:rPr>
                <w:color w:val="000000"/>
              </w:rPr>
            </w:pPr>
            <w:r w:rsidRPr="008212CE">
              <w:rPr>
                <w:color w:val="000000"/>
                <w:szCs w:val="22"/>
              </w:rPr>
              <w:t>пп.1</w:t>
            </w:r>
            <w:r>
              <w:rPr>
                <w:color w:val="000000"/>
                <w:szCs w:val="22"/>
              </w:rPr>
              <w:t>2</w:t>
            </w:r>
            <w:r w:rsidRPr="008212CE">
              <w:rPr>
                <w:color w:val="000000"/>
                <w:szCs w:val="22"/>
              </w:rPr>
              <w:t xml:space="preserve"> (минимальная) - пп.</w:t>
            </w:r>
            <w:r>
              <w:rPr>
                <w:color w:val="000000"/>
                <w:szCs w:val="22"/>
              </w:rPr>
              <w:t>12</w:t>
            </w:r>
            <w:r w:rsidRPr="008212CE">
              <w:rPr>
                <w:color w:val="000000"/>
                <w:szCs w:val="22"/>
              </w:rPr>
              <w:t xml:space="preserve"> (оферта N)</w:t>
            </w:r>
          </w:p>
        </w:tc>
      </w:tr>
    </w:tbl>
    <w:p w:rsidR="00DC375A" w:rsidRDefault="00DC375A" w:rsidP="00761C86">
      <w:pPr>
        <w:rPr>
          <w:rFonts w:ascii="Times New Roman" w:hAnsi="Times New Roman"/>
          <w:sz w:val="24"/>
        </w:rPr>
      </w:pP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9A5" w:rsidRDefault="000E49A5" w:rsidP="00FB07D9">
      <w:pPr>
        <w:spacing w:before="0"/>
      </w:pPr>
      <w:r>
        <w:separator/>
      </w:r>
    </w:p>
  </w:endnote>
  <w:endnote w:type="continuationSeparator" w:id="0">
    <w:p w:rsidR="000E49A5" w:rsidRDefault="000E49A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ECD" w:rsidRDefault="00654ECD">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ECD" w:rsidRDefault="00654EC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9A5" w:rsidRDefault="000E49A5" w:rsidP="00FB07D9">
      <w:pPr>
        <w:spacing w:before="0"/>
      </w:pPr>
      <w:r>
        <w:separator/>
      </w:r>
    </w:p>
  </w:footnote>
  <w:footnote w:type="continuationSeparator" w:id="0">
    <w:p w:rsidR="000E49A5" w:rsidRDefault="000E49A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2E3"/>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3464</TotalTime>
  <Pages>14</Pages>
  <Words>3230</Words>
  <Characters>18417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658</cp:revision>
  <cp:lastPrinted>2017-11-24T05:47:00Z</cp:lastPrinted>
  <dcterms:created xsi:type="dcterms:W3CDTF">2016-09-08T12:35:00Z</dcterms:created>
  <dcterms:modified xsi:type="dcterms:W3CDTF">2018-01-25T10:24:00Z</dcterms:modified>
</cp:coreProperties>
</file>